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D2F" w:rsidRDefault="00492D2F">
      <w:pPr>
        <w:pStyle w:val="ConsPlusTitlePage"/>
      </w:pPr>
      <w:r>
        <w:t xml:space="preserve">Документ предоставлен </w:t>
      </w:r>
      <w:hyperlink r:id="rId4" w:history="1">
        <w:r>
          <w:rPr>
            <w:color w:val="0000FF"/>
          </w:rPr>
          <w:t>КонсультантПлюс</w:t>
        </w:r>
      </w:hyperlink>
      <w:r>
        <w:br/>
      </w:r>
    </w:p>
    <w:p w:rsidR="00492D2F" w:rsidRDefault="00492D2F">
      <w:pPr>
        <w:pStyle w:val="ConsPlusNormal"/>
        <w:jc w:val="both"/>
        <w:outlineLvl w:val="0"/>
      </w:pPr>
    </w:p>
    <w:p w:rsidR="00492D2F" w:rsidRDefault="00492D2F">
      <w:pPr>
        <w:pStyle w:val="ConsPlusNormal"/>
        <w:outlineLvl w:val="0"/>
      </w:pPr>
      <w:r>
        <w:t>Зарегистрировано в Минюсте России 7 мая 2020 г. N 58280</w:t>
      </w:r>
    </w:p>
    <w:p w:rsidR="00492D2F" w:rsidRDefault="00492D2F">
      <w:pPr>
        <w:pStyle w:val="ConsPlusNormal"/>
        <w:pBdr>
          <w:top w:val="single" w:sz="6" w:space="0" w:color="auto"/>
        </w:pBdr>
        <w:spacing w:before="100" w:after="100"/>
        <w:jc w:val="both"/>
        <w:rPr>
          <w:sz w:val="2"/>
          <w:szCs w:val="2"/>
        </w:rPr>
      </w:pPr>
    </w:p>
    <w:p w:rsidR="00492D2F" w:rsidRDefault="00492D2F">
      <w:pPr>
        <w:pStyle w:val="ConsPlusNormal"/>
        <w:jc w:val="both"/>
      </w:pPr>
    </w:p>
    <w:p w:rsidR="00492D2F" w:rsidRDefault="00492D2F">
      <w:pPr>
        <w:pStyle w:val="ConsPlusTitle"/>
        <w:jc w:val="center"/>
      </w:pPr>
      <w:r>
        <w:t>МИНИСТЕРСТВО ФИНАНСОВ РОССИЙСКОЙ ФЕДЕРАЦИИ</w:t>
      </w:r>
    </w:p>
    <w:p w:rsidR="00492D2F" w:rsidRDefault="00492D2F">
      <w:pPr>
        <w:pStyle w:val="ConsPlusTitle"/>
        <w:jc w:val="center"/>
      </w:pPr>
    </w:p>
    <w:p w:rsidR="00492D2F" w:rsidRDefault="00492D2F">
      <w:pPr>
        <w:pStyle w:val="ConsPlusTitle"/>
        <w:jc w:val="center"/>
      </w:pPr>
      <w:r>
        <w:t>ФЕДЕРАЛЬНОЕ КАЗНАЧЕЙСТВО</w:t>
      </w:r>
    </w:p>
    <w:p w:rsidR="00492D2F" w:rsidRDefault="00492D2F">
      <w:pPr>
        <w:pStyle w:val="ConsPlusTitle"/>
        <w:jc w:val="center"/>
      </w:pPr>
    </w:p>
    <w:p w:rsidR="00492D2F" w:rsidRDefault="00492D2F">
      <w:pPr>
        <w:pStyle w:val="ConsPlusTitle"/>
        <w:jc w:val="center"/>
      </w:pPr>
      <w:r>
        <w:t>ПРИКАЗ</w:t>
      </w:r>
    </w:p>
    <w:p w:rsidR="00492D2F" w:rsidRDefault="00492D2F">
      <w:pPr>
        <w:pStyle w:val="ConsPlusTitle"/>
        <w:jc w:val="center"/>
      </w:pPr>
      <w:r>
        <w:t>от 1 апреля 2020 г. N 15н</w:t>
      </w:r>
    </w:p>
    <w:p w:rsidR="00492D2F" w:rsidRDefault="00492D2F">
      <w:pPr>
        <w:pStyle w:val="ConsPlusTitle"/>
        <w:jc w:val="center"/>
      </w:pPr>
    </w:p>
    <w:p w:rsidR="00492D2F" w:rsidRDefault="00492D2F">
      <w:pPr>
        <w:pStyle w:val="ConsPlusTitle"/>
        <w:jc w:val="center"/>
      </w:pPr>
      <w:r>
        <w:t>О ПОРЯДКЕ ОТКРЫТИЯ КАЗНАЧЕЙСКИХ СЧЕТОВ</w:t>
      </w:r>
    </w:p>
    <w:p w:rsidR="00492D2F" w:rsidRDefault="00492D2F">
      <w:pPr>
        <w:pStyle w:val="ConsPlusNormal"/>
        <w:jc w:val="both"/>
      </w:pPr>
    </w:p>
    <w:p w:rsidR="00492D2F" w:rsidRDefault="00492D2F">
      <w:pPr>
        <w:pStyle w:val="ConsPlusNormal"/>
        <w:ind w:firstLine="540"/>
        <w:jc w:val="both"/>
      </w:pPr>
      <w:r>
        <w:t xml:space="preserve">В целях реализации </w:t>
      </w:r>
      <w:hyperlink r:id="rId5" w:history="1">
        <w:r>
          <w:rPr>
            <w:color w:val="0000FF"/>
          </w:rPr>
          <w:t>пункта 3 статьи 242.14</w:t>
        </w:r>
      </w:hyperlink>
      <w:r>
        <w:t xml:space="preserve"> Бюджетного кодекса Российской Федерации (Собрание законодательства Российской Федерации, 1998, N 31, ст. 3823; 2019, N 52, ст. 7797) приказываю:</w:t>
      </w:r>
    </w:p>
    <w:p w:rsidR="00492D2F" w:rsidRDefault="00492D2F">
      <w:pPr>
        <w:pStyle w:val="ConsPlusNormal"/>
        <w:spacing w:before="220"/>
        <w:ind w:firstLine="540"/>
        <w:jc w:val="both"/>
      </w:pPr>
      <w:r>
        <w:t xml:space="preserve">1. Утвердить прилагаемый </w:t>
      </w:r>
      <w:hyperlink w:anchor="P28" w:history="1">
        <w:r>
          <w:rPr>
            <w:color w:val="0000FF"/>
          </w:rPr>
          <w:t>Порядок</w:t>
        </w:r>
      </w:hyperlink>
      <w:r>
        <w:t xml:space="preserve"> открытия казначейских счетов.</w:t>
      </w:r>
    </w:p>
    <w:p w:rsidR="00492D2F" w:rsidRDefault="00492D2F">
      <w:pPr>
        <w:pStyle w:val="ConsPlusNormal"/>
        <w:spacing w:before="220"/>
        <w:ind w:firstLine="540"/>
        <w:jc w:val="both"/>
      </w:pPr>
      <w:r>
        <w:t>2. Настоящий приказ вступает в силу с 1 января 2021 года.</w:t>
      </w:r>
    </w:p>
    <w:p w:rsidR="00492D2F" w:rsidRDefault="00492D2F">
      <w:pPr>
        <w:pStyle w:val="ConsPlusNormal"/>
        <w:jc w:val="both"/>
      </w:pPr>
    </w:p>
    <w:p w:rsidR="00492D2F" w:rsidRDefault="00492D2F">
      <w:pPr>
        <w:pStyle w:val="ConsPlusNormal"/>
        <w:jc w:val="right"/>
      </w:pPr>
      <w:r>
        <w:t>Руководитель</w:t>
      </w:r>
    </w:p>
    <w:p w:rsidR="00492D2F" w:rsidRDefault="00492D2F">
      <w:pPr>
        <w:pStyle w:val="ConsPlusNormal"/>
        <w:jc w:val="right"/>
      </w:pPr>
      <w:r>
        <w:t>Р.Е.АРТЮХИН</w:t>
      </w: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right"/>
        <w:outlineLvl w:val="0"/>
      </w:pPr>
      <w:r>
        <w:t>Утвержден</w:t>
      </w:r>
    </w:p>
    <w:p w:rsidR="00492D2F" w:rsidRDefault="00492D2F">
      <w:pPr>
        <w:pStyle w:val="ConsPlusNormal"/>
        <w:jc w:val="right"/>
      </w:pPr>
      <w:r>
        <w:t>приказом Федерального казначейства</w:t>
      </w:r>
    </w:p>
    <w:p w:rsidR="00492D2F" w:rsidRDefault="00492D2F">
      <w:pPr>
        <w:pStyle w:val="ConsPlusNormal"/>
        <w:jc w:val="right"/>
      </w:pPr>
      <w:r>
        <w:t>от 1 апреля 2020 г. N 15н</w:t>
      </w:r>
    </w:p>
    <w:p w:rsidR="00492D2F" w:rsidRDefault="00492D2F">
      <w:pPr>
        <w:pStyle w:val="ConsPlusNormal"/>
        <w:jc w:val="both"/>
      </w:pPr>
    </w:p>
    <w:p w:rsidR="00492D2F" w:rsidRDefault="00492D2F">
      <w:pPr>
        <w:pStyle w:val="ConsPlusTitle"/>
        <w:jc w:val="center"/>
      </w:pPr>
      <w:bookmarkStart w:id="0" w:name="P28"/>
      <w:bookmarkEnd w:id="0"/>
      <w:r>
        <w:t>ПОРЯДОК ОТКРЫТИЯ КАЗНАЧЕЙСКИХ СЧЕТОВ</w:t>
      </w:r>
    </w:p>
    <w:p w:rsidR="00492D2F" w:rsidRDefault="00492D2F">
      <w:pPr>
        <w:pStyle w:val="ConsPlusNormal"/>
        <w:jc w:val="both"/>
      </w:pPr>
    </w:p>
    <w:p w:rsidR="00492D2F" w:rsidRDefault="00492D2F">
      <w:pPr>
        <w:pStyle w:val="ConsPlusTitle"/>
        <w:jc w:val="center"/>
        <w:outlineLvl w:val="1"/>
      </w:pPr>
      <w:r>
        <w:t>I. Общие положения</w:t>
      </w:r>
    </w:p>
    <w:p w:rsidR="00492D2F" w:rsidRDefault="00492D2F">
      <w:pPr>
        <w:pStyle w:val="ConsPlusNormal"/>
        <w:jc w:val="both"/>
      </w:pPr>
    </w:p>
    <w:p w:rsidR="00492D2F" w:rsidRDefault="00492D2F">
      <w:pPr>
        <w:pStyle w:val="ConsPlusNormal"/>
        <w:ind w:firstLine="540"/>
        <w:jc w:val="both"/>
      </w:pPr>
      <w:r>
        <w:t xml:space="preserve">1. Настоящий Порядок открытия казначейских счетов (далее - Порядок) разработан на основании </w:t>
      </w:r>
      <w:hyperlink r:id="rId6" w:history="1">
        <w:r>
          <w:rPr>
            <w:color w:val="0000FF"/>
          </w:rPr>
          <w:t>пункта 3 статьи 242.14</w:t>
        </w:r>
      </w:hyperlink>
      <w:r>
        <w:t xml:space="preserve"> Бюджетного кодекса Российской Федерации (Собрание законодательства Российской Федерации, 1998, N 31, ст. 3823; 2019, N 52, ст. 7797) и устанавливает порядок открытия казначейских счетов в валюте Российской Федерации и в иностранных валютах.</w:t>
      </w:r>
    </w:p>
    <w:p w:rsidR="00492D2F" w:rsidRDefault="00492D2F">
      <w:pPr>
        <w:pStyle w:val="ConsPlusNormal"/>
        <w:spacing w:before="220"/>
        <w:ind w:firstLine="540"/>
        <w:jc w:val="both"/>
      </w:pPr>
      <w:bookmarkStart w:id="1" w:name="P33"/>
      <w:bookmarkEnd w:id="1"/>
      <w:r>
        <w:t>2. В территориальных органах Федерального казначейства открываются следующие виды казначейских счетов:</w:t>
      </w:r>
    </w:p>
    <w:p w:rsidR="00492D2F" w:rsidRDefault="00492D2F">
      <w:pPr>
        <w:pStyle w:val="ConsPlusNormal"/>
        <w:spacing w:before="220"/>
        <w:ind w:firstLine="540"/>
        <w:jc w:val="both"/>
      </w:pPr>
      <w:r>
        <w:t>а) единый счет бюджета;</w:t>
      </w:r>
    </w:p>
    <w:p w:rsidR="00492D2F" w:rsidRDefault="00492D2F">
      <w:pPr>
        <w:pStyle w:val="ConsPlusNormal"/>
        <w:spacing w:before="220"/>
        <w:ind w:firstLine="540"/>
        <w:jc w:val="both"/>
      </w:pPr>
      <w:r>
        <w:t>б) казначейский счет для осуществления и отражения операций по учету и распределению поступлений;</w:t>
      </w:r>
    </w:p>
    <w:p w:rsidR="00492D2F" w:rsidRDefault="00492D2F">
      <w:pPr>
        <w:pStyle w:val="ConsPlusNormal"/>
        <w:spacing w:before="220"/>
        <w:ind w:firstLine="540"/>
        <w:jc w:val="both"/>
      </w:pPr>
      <w:r>
        <w:t>в) казначейский счет для осуществления и отражения операций с денежными средствами, поступающими во временное распоряжение;</w:t>
      </w:r>
    </w:p>
    <w:p w:rsidR="00492D2F" w:rsidRDefault="00492D2F">
      <w:pPr>
        <w:pStyle w:val="ConsPlusNormal"/>
        <w:spacing w:before="220"/>
        <w:ind w:firstLine="540"/>
        <w:jc w:val="both"/>
      </w:pPr>
      <w:r>
        <w:t xml:space="preserve">г) казначейский счет для осуществления и отражения операций с денежными средствами </w:t>
      </w:r>
      <w:r>
        <w:lastRenderedPageBreak/>
        <w:t>бюджетных и автономных учреждений;</w:t>
      </w:r>
    </w:p>
    <w:p w:rsidR="00492D2F" w:rsidRDefault="00492D2F">
      <w:pPr>
        <w:pStyle w:val="ConsPlusNormal"/>
        <w:spacing w:before="220"/>
        <w:ind w:firstLine="540"/>
        <w:jc w:val="both"/>
      </w:pPr>
      <w:r>
        <w:t>д)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492D2F" w:rsidRDefault="00492D2F">
      <w:pPr>
        <w:pStyle w:val="ConsPlusNormal"/>
        <w:spacing w:before="220"/>
        <w:ind w:firstLine="540"/>
        <w:jc w:val="both"/>
      </w:pPr>
      <w:r>
        <w:t>е) казначейский счет для осуществления и отражения операций с денежными средствами Фонда национального благосостояния;</w:t>
      </w:r>
    </w:p>
    <w:p w:rsidR="00492D2F" w:rsidRDefault="00492D2F">
      <w:pPr>
        <w:pStyle w:val="ConsPlusNormal"/>
        <w:spacing w:before="220"/>
        <w:ind w:firstLine="540"/>
        <w:jc w:val="both"/>
      </w:pPr>
      <w:r>
        <w:t xml:space="preserve">ж) иные казначейские счета для осуществления и отражения операций в случаях, установленных Бюджетным </w:t>
      </w:r>
      <w:hyperlink r:id="rId7" w:history="1">
        <w:r>
          <w:rPr>
            <w:color w:val="0000FF"/>
          </w:rPr>
          <w:t>кодексом</w:t>
        </w:r>
      </w:hyperlink>
      <w:r>
        <w:t xml:space="preserve"> Российской Федерации, а также иными законодательными актами Российской Федерации,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492D2F" w:rsidRDefault="00492D2F">
      <w:pPr>
        <w:pStyle w:val="ConsPlusNormal"/>
        <w:spacing w:before="220"/>
        <w:ind w:firstLine="540"/>
        <w:jc w:val="both"/>
      </w:pPr>
      <w:r>
        <w:t>3. Казначейские счета открываются в целях казначейского обслуживания:</w:t>
      </w:r>
    </w:p>
    <w:p w:rsidR="00492D2F" w:rsidRDefault="00492D2F">
      <w:pPr>
        <w:pStyle w:val="ConsPlusNormal"/>
        <w:spacing w:before="220"/>
        <w:ind w:firstLine="540"/>
        <w:jc w:val="both"/>
      </w:pPr>
      <w:r>
        <w:t>а) исполнения федерального бюджета, бюджетов субъектов Российской Федерации, местных бюджетов, бюджетов государственных внебюджетных фондов;</w:t>
      </w:r>
    </w:p>
    <w:p w:rsidR="00492D2F" w:rsidRDefault="00492D2F">
      <w:pPr>
        <w:pStyle w:val="ConsPlusNormal"/>
        <w:spacing w:before="220"/>
        <w:ind w:firstLine="540"/>
        <w:jc w:val="both"/>
      </w:pPr>
      <w:r>
        <w:t>б) поступлений в бюджеты бюджетной системы Российской Федерации и их распределения между бюджетами бюджетной системы Российской Федерации;</w:t>
      </w:r>
    </w:p>
    <w:p w:rsidR="00492D2F" w:rsidRDefault="00492D2F">
      <w:pPr>
        <w:pStyle w:val="ConsPlusNormal"/>
        <w:spacing w:before="220"/>
        <w:ind w:firstLine="540"/>
        <w:jc w:val="both"/>
      </w:pPr>
      <w:r>
        <w:t>в) операций со средствами, поступающими во временное распоряжение получателей средств федерального бюджета, бюджета субъекта Российской Федерации (местного бюджета), бюджета государственного внебюджетного фонда;</w:t>
      </w:r>
    </w:p>
    <w:p w:rsidR="00492D2F" w:rsidRDefault="00492D2F">
      <w:pPr>
        <w:pStyle w:val="ConsPlusNormal"/>
        <w:spacing w:before="220"/>
        <w:ind w:firstLine="540"/>
        <w:jc w:val="both"/>
      </w:pPr>
      <w:r>
        <w:t>г) операций со средствами бюджетных и автономных учреждений;</w:t>
      </w:r>
    </w:p>
    <w:p w:rsidR="00492D2F" w:rsidRDefault="00492D2F">
      <w:pPr>
        <w:pStyle w:val="ConsPlusNormal"/>
        <w:spacing w:before="220"/>
        <w:ind w:firstLine="540"/>
        <w:jc w:val="both"/>
      </w:pPr>
      <w:r>
        <w:t>д) операций со средствами юридических лиц, не являющихся участниками бюджетного процесса, бюджетными и автономными учреждениями;</w:t>
      </w:r>
    </w:p>
    <w:p w:rsidR="00492D2F" w:rsidRDefault="00492D2F">
      <w:pPr>
        <w:pStyle w:val="ConsPlusNormal"/>
        <w:spacing w:before="220"/>
        <w:ind w:firstLine="540"/>
        <w:jc w:val="both"/>
      </w:pPr>
      <w:r>
        <w:t>е) операций со средствами Фонда национального благосостояния;</w:t>
      </w:r>
    </w:p>
    <w:p w:rsidR="00492D2F" w:rsidRDefault="00492D2F">
      <w:pPr>
        <w:pStyle w:val="ConsPlusNormal"/>
        <w:spacing w:before="220"/>
        <w:ind w:firstLine="540"/>
        <w:jc w:val="both"/>
      </w:pPr>
      <w:r>
        <w:t xml:space="preserve">ж) операций в случаях, установленных Бюджетным </w:t>
      </w:r>
      <w:hyperlink r:id="rId8" w:history="1">
        <w:r>
          <w:rPr>
            <w:color w:val="0000FF"/>
          </w:rPr>
          <w:t>кодексом</w:t>
        </w:r>
      </w:hyperlink>
      <w:r>
        <w:t xml:space="preserve"> Российской Федерации, а также иными законодательными актами Российской Федерации,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492D2F" w:rsidRDefault="00492D2F">
      <w:pPr>
        <w:pStyle w:val="ConsPlusNormal"/>
        <w:spacing w:before="220"/>
        <w:ind w:firstLine="540"/>
        <w:jc w:val="both"/>
      </w:pPr>
      <w:r>
        <w:t>4. Единый счет бюджета открывается:</w:t>
      </w:r>
    </w:p>
    <w:p w:rsidR="00492D2F" w:rsidRDefault="00492D2F">
      <w:pPr>
        <w:pStyle w:val="ConsPlusNormal"/>
        <w:spacing w:before="220"/>
        <w:ind w:firstLine="540"/>
        <w:jc w:val="both"/>
      </w:pPr>
      <w:r>
        <w:t>территориальному органу Федерального казначейства - для осуществления и отражения операций по исполнению федерального бюджета;</w:t>
      </w:r>
    </w:p>
    <w:p w:rsidR="00492D2F" w:rsidRDefault="00492D2F">
      <w:pPr>
        <w:pStyle w:val="ConsPlusNormal"/>
        <w:spacing w:before="220"/>
        <w:ind w:firstLine="540"/>
        <w:jc w:val="both"/>
      </w:pPr>
      <w:r>
        <w:t>финансовому органу субъекта Российской Федерации (муниципального образования) - для осуществления и отражения операций по исполнению бюджета субъекта Российской Федерации (местного бюджета);</w:t>
      </w:r>
    </w:p>
    <w:p w:rsidR="00492D2F" w:rsidRDefault="00492D2F">
      <w:pPr>
        <w:pStyle w:val="ConsPlusNormal"/>
        <w:spacing w:before="220"/>
        <w:ind w:firstLine="540"/>
        <w:jc w:val="both"/>
      </w:pPr>
      <w:r>
        <w:t>органу управления государственным внебюджетным фондом - для осуществления и отражения операций по исполнению бюджета государственного внебюджетного фонда.</w:t>
      </w:r>
    </w:p>
    <w:p w:rsidR="00492D2F" w:rsidRDefault="00492D2F">
      <w:pPr>
        <w:pStyle w:val="ConsPlusNormal"/>
        <w:spacing w:before="220"/>
        <w:ind w:firstLine="540"/>
        <w:jc w:val="both"/>
      </w:pPr>
      <w:r>
        <w:t>5. Казначейский счет для осуществления и отражения операций по учету и распределению поступлений открывается территориальному органу Федерального казначейства.</w:t>
      </w:r>
    </w:p>
    <w:p w:rsidR="00492D2F" w:rsidRDefault="00492D2F">
      <w:pPr>
        <w:pStyle w:val="ConsPlusNormal"/>
        <w:spacing w:before="220"/>
        <w:ind w:firstLine="540"/>
        <w:jc w:val="both"/>
      </w:pPr>
      <w:r>
        <w:t xml:space="preserve">6. Казначейский счет для осуществления и отражения операций с денежными средствами, поступающими во временное распоряжение получателей средств федерального бюджета, бюджета субъекта Российской Федерации (местного бюджета), бюджета государственного внебюджетного фонда открывается территориальному органу Федерального казначейства, </w:t>
      </w:r>
      <w:r>
        <w:lastRenderedPageBreak/>
        <w:t>финансовому органу субъекта Российской Федерации (муниципального образования), органу управления государственным внебюджетным фондом.</w:t>
      </w:r>
    </w:p>
    <w:p w:rsidR="00492D2F" w:rsidRDefault="00492D2F">
      <w:pPr>
        <w:pStyle w:val="ConsPlusNormal"/>
        <w:spacing w:before="220"/>
        <w:ind w:firstLine="540"/>
        <w:jc w:val="both"/>
      </w:pPr>
      <w:r>
        <w:t>7. Казначейский счет для осуществления и отражения операций с денежными средствами бюджетных и автономных учреждений открывается:</w:t>
      </w:r>
    </w:p>
    <w:p w:rsidR="00492D2F" w:rsidRDefault="00492D2F">
      <w:pPr>
        <w:pStyle w:val="ConsPlusNormal"/>
        <w:spacing w:before="220"/>
        <w:ind w:firstLine="540"/>
        <w:jc w:val="both"/>
      </w:pPr>
      <w:r>
        <w:t>территориальному органу Федерального казначейства, органу управления государственным внебюджетным фондом - для осуществления и отражения операций с денежными средствами, поступающими федеральным бюджетным и автономным учреждениям;</w:t>
      </w:r>
    </w:p>
    <w:p w:rsidR="00492D2F" w:rsidRDefault="00492D2F">
      <w:pPr>
        <w:pStyle w:val="ConsPlusNormal"/>
        <w:spacing w:before="220"/>
        <w:ind w:firstLine="540"/>
        <w:jc w:val="both"/>
      </w:pPr>
      <w:r>
        <w:t>финансовому органу субъекта Российской Федерации (муниципального образования) - для осуществления и отражения операций с денежными средствами, поступающими бюджетным учреждениям субъектов Российской Федерации (муниципальным бюджетным учреждениям), автономным учреждениям субъектов Российской Федерации (муниципальным автономным учреждениям).</w:t>
      </w:r>
    </w:p>
    <w:p w:rsidR="00492D2F" w:rsidRDefault="00492D2F">
      <w:pPr>
        <w:pStyle w:val="ConsPlusNormal"/>
        <w:spacing w:before="220"/>
        <w:ind w:firstLine="540"/>
        <w:jc w:val="both"/>
      </w:pPr>
      <w:r>
        <w:t>8.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открывается:</w:t>
      </w:r>
    </w:p>
    <w:p w:rsidR="00492D2F" w:rsidRDefault="00492D2F">
      <w:pPr>
        <w:pStyle w:val="ConsPlusNormal"/>
        <w:spacing w:before="220"/>
        <w:ind w:firstLine="540"/>
        <w:jc w:val="both"/>
      </w:pPr>
      <w:r>
        <w:t>территориальному органу Федерального казначейства - для осуществления и отражения операций с денежными средствами, поступающими юридическим лицам, не являющимся участниками бюджетного процесса, бюджетными и автономными учреждениями, источником финансового обеспечения которых являются средства федерального бюджета;</w:t>
      </w:r>
    </w:p>
    <w:p w:rsidR="00492D2F" w:rsidRDefault="00492D2F">
      <w:pPr>
        <w:pStyle w:val="ConsPlusNormal"/>
        <w:spacing w:before="220"/>
        <w:ind w:firstLine="540"/>
        <w:jc w:val="both"/>
      </w:pPr>
      <w:r>
        <w:t>финансовому органу субъекта Российской Федерации (муниципального образования) - для осуществления и отражения операций с денежными средствами, поступающими юридическим лицам, не являющимся участниками бюджетного процесса, бюджетными и автономными учреждениями, источником финансового обеспечения которых являются средства бюджета субъекта Российской Федерации (местного бюджета).</w:t>
      </w:r>
    </w:p>
    <w:p w:rsidR="00492D2F" w:rsidRDefault="00492D2F">
      <w:pPr>
        <w:pStyle w:val="ConsPlusNormal"/>
        <w:spacing w:before="220"/>
        <w:ind w:firstLine="540"/>
        <w:jc w:val="both"/>
      </w:pPr>
      <w:r>
        <w:t>9. Казначейский счет для осуществления и отражения операций с денежными средствами Фонда национального благосостояния открывается территориальному органу Федерального казначейства.</w:t>
      </w:r>
    </w:p>
    <w:p w:rsidR="00492D2F" w:rsidRDefault="00492D2F">
      <w:pPr>
        <w:pStyle w:val="ConsPlusNormal"/>
        <w:spacing w:before="220"/>
        <w:ind w:firstLine="540"/>
        <w:jc w:val="both"/>
      </w:pPr>
      <w:r>
        <w:t>10. Казначейские счета в иностранных валютах открываются территориальным органам Федерального казначейства и органам управления государственными внебюджетными фондами.</w:t>
      </w:r>
    </w:p>
    <w:p w:rsidR="00492D2F" w:rsidRDefault="00492D2F">
      <w:pPr>
        <w:pStyle w:val="ConsPlusNormal"/>
        <w:spacing w:before="220"/>
        <w:ind w:firstLine="540"/>
        <w:jc w:val="both"/>
      </w:pPr>
      <w:r>
        <w:t>11. Допускается открытие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нескольких казначейских счетов одного вида.</w:t>
      </w:r>
    </w:p>
    <w:p w:rsidR="00492D2F" w:rsidRDefault="00492D2F">
      <w:pPr>
        <w:pStyle w:val="ConsPlusNormal"/>
        <w:spacing w:before="220"/>
        <w:ind w:firstLine="540"/>
        <w:jc w:val="both"/>
      </w:pPr>
      <w:r>
        <w:t>12. При открытии, ведении и закрытии казначейских счетов обмен документами с территориальным органом Федерального казначейства осуществляется в электронном виде с применением средств электронной подписи в соответствии с законодательством Российской Федерации на основании Договора (соглашения) об обмене электронными документами, заключенного между финансовым органом субъекта Российской Федерации (муниципального образования), органом управления государственным внебюджетным фондом и территориальным органом Федерального казначейства, и требованиями, установленными законодательством Российской Федерации.</w:t>
      </w:r>
    </w:p>
    <w:p w:rsidR="00492D2F" w:rsidRDefault="00492D2F">
      <w:pPr>
        <w:pStyle w:val="ConsPlusNormal"/>
        <w:spacing w:before="220"/>
        <w:ind w:firstLine="540"/>
        <w:jc w:val="both"/>
      </w:pPr>
      <w:r>
        <w:t>При отсутствии технической возможности информационного обмена в электронном виде, обмен информацией осуществляется с применением документооборота на бумажных носителях с одновременным представлением документов на машинном носителе.</w:t>
      </w:r>
    </w:p>
    <w:p w:rsidR="00492D2F" w:rsidRDefault="00492D2F">
      <w:pPr>
        <w:pStyle w:val="ConsPlusNormal"/>
        <w:spacing w:before="220"/>
        <w:ind w:firstLine="540"/>
        <w:jc w:val="both"/>
      </w:pPr>
      <w:r>
        <w:lastRenderedPageBreak/>
        <w:t>13. Документооборот по открытию, ведению и закрытию казначейских счетов, содержащий сведения, составляющие государственную тайну, осуществляется в соответствии с настоящим Порядком с соблюдением требований законодательства Российской Федерации о государственной тайне.</w:t>
      </w:r>
    </w:p>
    <w:p w:rsidR="00492D2F" w:rsidRDefault="00492D2F">
      <w:pPr>
        <w:pStyle w:val="ConsPlusNormal"/>
        <w:spacing w:before="220"/>
        <w:ind w:firstLine="540"/>
        <w:jc w:val="both"/>
      </w:pPr>
      <w:r>
        <w:t>14. При открытии казначейского счета ему присваивается уникальный номер, имеющий следующую структуру, состоящую из 20 разрядов:</w:t>
      </w:r>
    </w:p>
    <w:p w:rsidR="00492D2F" w:rsidRDefault="00492D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40"/>
        <w:gridCol w:w="340"/>
        <w:gridCol w:w="340"/>
        <w:gridCol w:w="340"/>
        <w:gridCol w:w="374"/>
        <w:gridCol w:w="370"/>
        <w:gridCol w:w="379"/>
        <w:gridCol w:w="461"/>
        <w:gridCol w:w="461"/>
        <w:gridCol w:w="466"/>
        <w:gridCol w:w="461"/>
        <w:gridCol w:w="466"/>
        <w:gridCol w:w="461"/>
        <w:gridCol w:w="456"/>
        <w:gridCol w:w="470"/>
        <w:gridCol w:w="566"/>
        <w:gridCol w:w="562"/>
        <w:gridCol w:w="523"/>
        <w:gridCol w:w="494"/>
      </w:tblGrid>
      <w:tr w:rsidR="00492D2F">
        <w:tc>
          <w:tcPr>
            <w:tcW w:w="680" w:type="dxa"/>
          </w:tcPr>
          <w:p w:rsidR="00492D2F" w:rsidRDefault="00492D2F">
            <w:pPr>
              <w:pStyle w:val="ConsPlusNormal"/>
              <w:jc w:val="center"/>
            </w:pPr>
            <w:r>
              <w:t>Признак казначейского счета</w:t>
            </w:r>
          </w:p>
        </w:tc>
        <w:tc>
          <w:tcPr>
            <w:tcW w:w="1360" w:type="dxa"/>
            <w:gridSpan w:val="4"/>
          </w:tcPr>
          <w:p w:rsidR="00492D2F" w:rsidRDefault="00492D2F">
            <w:pPr>
              <w:pStyle w:val="ConsPlusNormal"/>
              <w:jc w:val="center"/>
            </w:pPr>
            <w:r>
              <w:t>Код вида казначейского счета</w:t>
            </w:r>
          </w:p>
        </w:tc>
        <w:tc>
          <w:tcPr>
            <w:tcW w:w="1123" w:type="dxa"/>
            <w:gridSpan w:val="3"/>
          </w:tcPr>
          <w:p w:rsidR="00492D2F" w:rsidRDefault="00492D2F">
            <w:pPr>
              <w:pStyle w:val="ConsPlusNormal"/>
              <w:jc w:val="center"/>
            </w:pPr>
            <w:r>
              <w:t>Код валюты</w:t>
            </w:r>
          </w:p>
        </w:tc>
        <w:tc>
          <w:tcPr>
            <w:tcW w:w="3702" w:type="dxa"/>
            <w:gridSpan w:val="8"/>
          </w:tcPr>
          <w:p w:rsidR="00492D2F" w:rsidRDefault="00492D2F">
            <w:pPr>
              <w:pStyle w:val="ConsPlusNormal"/>
              <w:jc w:val="center"/>
            </w:pPr>
            <w:r>
              <w:t>Идентификатор публично-правового образования</w:t>
            </w:r>
          </w:p>
        </w:tc>
        <w:tc>
          <w:tcPr>
            <w:tcW w:w="1128" w:type="dxa"/>
            <w:gridSpan w:val="2"/>
          </w:tcPr>
          <w:p w:rsidR="00492D2F" w:rsidRDefault="00492D2F">
            <w:pPr>
              <w:pStyle w:val="ConsPlusNormal"/>
              <w:jc w:val="center"/>
            </w:pPr>
            <w:r>
              <w:t>Код территориального органа Федерального казначейства</w:t>
            </w:r>
          </w:p>
        </w:tc>
        <w:tc>
          <w:tcPr>
            <w:tcW w:w="1017" w:type="dxa"/>
            <w:gridSpan w:val="2"/>
          </w:tcPr>
          <w:p w:rsidR="00492D2F" w:rsidRDefault="00492D2F">
            <w:pPr>
              <w:pStyle w:val="ConsPlusNormal"/>
              <w:jc w:val="center"/>
            </w:pPr>
            <w:r>
              <w:t>Порядковый номер счета</w:t>
            </w:r>
          </w:p>
        </w:tc>
      </w:tr>
      <w:tr w:rsidR="00492D2F">
        <w:tc>
          <w:tcPr>
            <w:tcW w:w="680" w:type="dxa"/>
          </w:tcPr>
          <w:p w:rsidR="00492D2F" w:rsidRDefault="00492D2F">
            <w:pPr>
              <w:pStyle w:val="ConsPlusNormal"/>
              <w:jc w:val="center"/>
            </w:pPr>
            <w:r>
              <w:t>1</w:t>
            </w:r>
          </w:p>
        </w:tc>
        <w:tc>
          <w:tcPr>
            <w:tcW w:w="340" w:type="dxa"/>
          </w:tcPr>
          <w:p w:rsidR="00492D2F" w:rsidRDefault="00492D2F">
            <w:pPr>
              <w:pStyle w:val="ConsPlusNormal"/>
              <w:jc w:val="center"/>
            </w:pPr>
            <w:r>
              <w:t>2</w:t>
            </w:r>
          </w:p>
        </w:tc>
        <w:tc>
          <w:tcPr>
            <w:tcW w:w="340" w:type="dxa"/>
          </w:tcPr>
          <w:p w:rsidR="00492D2F" w:rsidRDefault="00492D2F">
            <w:pPr>
              <w:pStyle w:val="ConsPlusNormal"/>
              <w:jc w:val="center"/>
            </w:pPr>
            <w:r>
              <w:t>3</w:t>
            </w:r>
          </w:p>
        </w:tc>
        <w:tc>
          <w:tcPr>
            <w:tcW w:w="340" w:type="dxa"/>
          </w:tcPr>
          <w:p w:rsidR="00492D2F" w:rsidRDefault="00492D2F">
            <w:pPr>
              <w:pStyle w:val="ConsPlusNormal"/>
              <w:jc w:val="center"/>
            </w:pPr>
            <w:r>
              <w:t>4</w:t>
            </w:r>
          </w:p>
        </w:tc>
        <w:tc>
          <w:tcPr>
            <w:tcW w:w="340" w:type="dxa"/>
          </w:tcPr>
          <w:p w:rsidR="00492D2F" w:rsidRDefault="00492D2F">
            <w:pPr>
              <w:pStyle w:val="ConsPlusNormal"/>
              <w:jc w:val="center"/>
            </w:pPr>
            <w:r>
              <w:t>5</w:t>
            </w:r>
          </w:p>
        </w:tc>
        <w:tc>
          <w:tcPr>
            <w:tcW w:w="374" w:type="dxa"/>
          </w:tcPr>
          <w:p w:rsidR="00492D2F" w:rsidRDefault="00492D2F">
            <w:pPr>
              <w:pStyle w:val="ConsPlusNormal"/>
              <w:jc w:val="center"/>
            </w:pPr>
            <w:r>
              <w:t>6</w:t>
            </w:r>
          </w:p>
        </w:tc>
        <w:tc>
          <w:tcPr>
            <w:tcW w:w="370" w:type="dxa"/>
          </w:tcPr>
          <w:p w:rsidR="00492D2F" w:rsidRDefault="00492D2F">
            <w:pPr>
              <w:pStyle w:val="ConsPlusNormal"/>
              <w:jc w:val="center"/>
            </w:pPr>
            <w:r>
              <w:t>7</w:t>
            </w:r>
          </w:p>
        </w:tc>
        <w:tc>
          <w:tcPr>
            <w:tcW w:w="379" w:type="dxa"/>
          </w:tcPr>
          <w:p w:rsidR="00492D2F" w:rsidRDefault="00492D2F">
            <w:pPr>
              <w:pStyle w:val="ConsPlusNormal"/>
              <w:jc w:val="center"/>
            </w:pPr>
            <w:r>
              <w:t>8</w:t>
            </w:r>
          </w:p>
        </w:tc>
        <w:tc>
          <w:tcPr>
            <w:tcW w:w="461" w:type="dxa"/>
          </w:tcPr>
          <w:p w:rsidR="00492D2F" w:rsidRDefault="00492D2F">
            <w:pPr>
              <w:pStyle w:val="ConsPlusNormal"/>
              <w:jc w:val="center"/>
            </w:pPr>
            <w:r>
              <w:t>9</w:t>
            </w:r>
          </w:p>
        </w:tc>
        <w:tc>
          <w:tcPr>
            <w:tcW w:w="461" w:type="dxa"/>
          </w:tcPr>
          <w:p w:rsidR="00492D2F" w:rsidRDefault="00492D2F">
            <w:pPr>
              <w:pStyle w:val="ConsPlusNormal"/>
              <w:jc w:val="center"/>
            </w:pPr>
            <w:r>
              <w:t>10</w:t>
            </w:r>
          </w:p>
        </w:tc>
        <w:tc>
          <w:tcPr>
            <w:tcW w:w="466" w:type="dxa"/>
          </w:tcPr>
          <w:p w:rsidR="00492D2F" w:rsidRDefault="00492D2F">
            <w:pPr>
              <w:pStyle w:val="ConsPlusNormal"/>
              <w:jc w:val="center"/>
            </w:pPr>
            <w:r>
              <w:t>11</w:t>
            </w:r>
          </w:p>
        </w:tc>
        <w:tc>
          <w:tcPr>
            <w:tcW w:w="461" w:type="dxa"/>
          </w:tcPr>
          <w:p w:rsidR="00492D2F" w:rsidRDefault="00492D2F">
            <w:pPr>
              <w:pStyle w:val="ConsPlusNormal"/>
              <w:jc w:val="center"/>
            </w:pPr>
            <w:r>
              <w:t>12</w:t>
            </w:r>
          </w:p>
        </w:tc>
        <w:tc>
          <w:tcPr>
            <w:tcW w:w="466" w:type="dxa"/>
          </w:tcPr>
          <w:p w:rsidR="00492D2F" w:rsidRDefault="00492D2F">
            <w:pPr>
              <w:pStyle w:val="ConsPlusNormal"/>
              <w:jc w:val="center"/>
            </w:pPr>
            <w:r>
              <w:t>13</w:t>
            </w:r>
          </w:p>
        </w:tc>
        <w:tc>
          <w:tcPr>
            <w:tcW w:w="461" w:type="dxa"/>
          </w:tcPr>
          <w:p w:rsidR="00492D2F" w:rsidRDefault="00492D2F">
            <w:pPr>
              <w:pStyle w:val="ConsPlusNormal"/>
              <w:jc w:val="center"/>
            </w:pPr>
            <w:r>
              <w:t>14</w:t>
            </w:r>
          </w:p>
        </w:tc>
        <w:tc>
          <w:tcPr>
            <w:tcW w:w="456" w:type="dxa"/>
          </w:tcPr>
          <w:p w:rsidR="00492D2F" w:rsidRDefault="00492D2F">
            <w:pPr>
              <w:pStyle w:val="ConsPlusNormal"/>
              <w:jc w:val="center"/>
            </w:pPr>
            <w:r>
              <w:t>15</w:t>
            </w:r>
          </w:p>
        </w:tc>
        <w:tc>
          <w:tcPr>
            <w:tcW w:w="470" w:type="dxa"/>
          </w:tcPr>
          <w:p w:rsidR="00492D2F" w:rsidRDefault="00492D2F">
            <w:pPr>
              <w:pStyle w:val="ConsPlusNormal"/>
              <w:jc w:val="center"/>
            </w:pPr>
            <w:r>
              <w:t>16</w:t>
            </w:r>
          </w:p>
        </w:tc>
        <w:tc>
          <w:tcPr>
            <w:tcW w:w="566" w:type="dxa"/>
          </w:tcPr>
          <w:p w:rsidR="00492D2F" w:rsidRDefault="00492D2F">
            <w:pPr>
              <w:pStyle w:val="ConsPlusNormal"/>
              <w:jc w:val="center"/>
            </w:pPr>
            <w:r>
              <w:t>17</w:t>
            </w:r>
          </w:p>
        </w:tc>
        <w:tc>
          <w:tcPr>
            <w:tcW w:w="562" w:type="dxa"/>
          </w:tcPr>
          <w:p w:rsidR="00492D2F" w:rsidRDefault="00492D2F">
            <w:pPr>
              <w:pStyle w:val="ConsPlusNormal"/>
              <w:jc w:val="center"/>
            </w:pPr>
            <w:r>
              <w:t>18</w:t>
            </w:r>
          </w:p>
        </w:tc>
        <w:tc>
          <w:tcPr>
            <w:tcW w:w="523" w:type="dxa"/>
          </w:tcPr>
          <w:p w:rsidR="00492D2F" w:rsidRDefault="00492D2F">
            <w:pPr>
              <w:pStyle w:val="ConsPlusNormal"/>
              <w:jc w:val="center"/>
            </w:pPr>
            <w:r>
              <w:t>19</w:t>
            </w:r>
          </w:p>
        </w:tc>
        <w:tc>
          <w:tcPr>
            <w:tcW w:w="494" w:type="dxa"/>
          </w:tcPr>
          <w:p w:rsidR="00492D2F" w:rsidRDefault="00492D2F">
            <w:pPr>
              <w:pStyle w:val="ConsPlusNormal"/>
              <w:jc w:val="center"/>
            </w:pPr>
            <w:r>
              <w:t>20</w:t>
            </w:r>
          </w:p>
        </w:tc>
      </w:tr>
      <w:tr w:rsidR="00492D2F">
        <w:tc>
          <w:tcPr>
            <w:tcW w:w="680" w:type="dxa"/>
          </w:tcPr>
          <w:p w:rsidR="00492D2F" w:rsidRDefault="00492D2F">
            <w:pPr>
              <w:pStyle w:val="ConsPlusNormal"/>
            </w:pPr>
          </w:p>
        </w:tc>
        <w:tc>
          <w:tcPr>
            <w:tcW w:w="340" w:type="dxa"/>
          </w:tcPr>
          <w:p w:rsidR="00492D2F" w:rsidRDefault="00492D2F">
            <w:pPr>
              <w:pStyle w:val="ConsPlusNormal"/>
            </w:pPr>
          </w:p>
        </w:tc>
        <w:tc>
          <w:tcPr>
            <w:tcW w:w="340" w:type="dxa"/>
          </w:tcPr>
          <w:p w:rsidR="00492D2F" w:rsidRDefault="00492D2F">
            <w:pPr>
              <w:pStyle w:val="ConsPlusNormal"/>
            </w:pPr>
          </w:p>
        </w:tc>
        <w:tc>
          <w:tcPr>
            <w:tcW w:w="340" w:type="dxa"/>
          </w:tcPr>
          <w:p w:rsidR="00492D2F" w:rsidRDefault="00492D2F">
            <w:pPr>
              <w:pStyle w:val="ConsPlusNormal"/>
            </w:pPr>
          </w:p>
        </w:tc>
        <w:tc>
          <w:tcPr>
            <w:tcW w:w="340" w:type="dxa"/>
          </w:tcPr>
          <w:p w:rsidR="00492D2F" w:rsidRDefault="00492D2F">
            <w:pPr>
              <w:pStyle w:val="ConsPlusNormal"/>
            </w:pPr>
          </w:p>
        </w:tc>
        <w:tc>
          <w:tcPr>
            <w:tcW w:w="374" w:type="dxa"/>
          </w:tcPr>
          <w:p w:rsidR="00492D2F" w:rsidRDefault="00492D2F">
            <w:pPr>
              <w:pStyle w:val="ConsPlusNormal"/>
            </w:pPr>
          </w:p>
        </w:tc>
        <w:tc>
          <w:tcPr>
            <w:tcW w:w="370" w:type="dxa"/>
          </w:tcPr>
          <w:p w:rsidR="00492D2F" w:rsidRDefault="00492D2F">
            <w:pPr>
              <w:pStyle w:val="ConsPlusNormal"/>
            </w:pPr>
          </w:p>
        </w:tc>
        <w:tc>
          <w:tcPr>
            <w:tcW w:w="379" w:type="dxa"/>
          </w:tcPr>
          <w:p w:rsidR="00492D2F" w:rsidRDefault="00492D2F">
            <w:pPr>
              <w:pStyle w:val="ConsPlusNormal"/>
            </w:pPr>
          </w:p>
        </w:tc>
        <w:tc>
          <w:tcPr>
            <w:tcW w:w="461" w:type="dxa"/>
          </w:tcPr>
          <w:p w:rsidR="00492D2F" w:rsidRDefault="00492D2F">
            <w:pPr>
              <w:pStyle w:val="ConsPlusNormal"/>
            </w:pPr>
          </w:p>
        </w:tc>
        <w:tc>
          <w:tcPr>
            <w:tcW w:w="461" w:type="dxa"/>
          </w:tcPr>
          <w:p w:rsidR="00492D2F" w:rsidRDefault="00492D2F">
            <w:pPr>
              <w:pStyle w:val="ConsPlusNormal"/>
            </w:pPr>
          </w:p>
        </w:tc>
        <w:tc>
          <w:tcPr>
            <w:tcW w:w="466" w:type="dxa"/>
          </w:tcPr>
          <w:p w:rsidR="00492D2F" w:rsidRDefault="00492D2F">
            <w:pPr>
              <w:pStyle w:val="ConsPlusNormal"/>
            </w:pPr>
          </w:p>
        </w:tc>
        <w:tc>
          <w:tcPr>
            <w:tcW w:w="461" w:type="dxa"/>
          </w:tcPr>
          <w:p w:rsidR="00492D2F" w:rsidRDefault="00492D2F">
            <w:pPr>
              <w:pStyle w:val="ConsPlusNormal"/>
            </w:pPr>
          </w:p>
        </w:tc>
        <w:tc>
          <w:tcPr>
            <w:tcW w:w="466" w:type="dxa"/>
          </w:tcPr>
          <w:p w:rsidR="00492D2F" w:rsidRDefault="00492D2F">
            <w:pPr>
              <w:pStyle w:val="ConsPlusNormal"/>
            </w:pPr>
          </w:p>
        </w:tc>
        <w:tc>
          <w:tcPr>
            <w:tcW w:w="461" w:type="dxa"/>
          </w:tcPr>
          <w:p w:rsidR="00492D2F" w:rsidRDefault="00492D2F">
            <w:pPr>
              <w:pStyle w:val="ConsPlusNormal"/>
            </w:pPr>
          </w:p>
        </w:tc>
        <w:tc>
          <w:tcPr>
            <w:tcW w:w="456" w:type="dxa"/>
          </w:tcPr>
          <w:p w:rsidR="00492D2F" w:rsidRDefault="00492D2F">
            <w:pPr>
              <w:pStyle w:val="ConsPlusNormal"/>
            </w:pPr>
          </w:p>
        </w:tc>
        <w:tc>
          <w:tcPr>
            <w:tcW w:w="470" w:type="dxa"/>
          </w:tcPr>
          <w:p w:rsidR="00492D2F" w:rsidRDefault="00492D2F">
            <w:pPr>
              <w:pStyle w:val="ConsPlusNormal"/>
            </w:pPr>
          </w:p>
        </w:tc>
        <w:tc>
          <w:tcPr>
            <w:tcW w:w="566" w:type="dxa"/>
          </w:tcPr>
          <w:p w:rsidR="00492D2F" w:rsidRDefault="00492D2F">
            <w:pPr>
              <w:pStyle w:val="ConsPlusNormal"/>
            </w:pPr>
          </w:p>
        </w:tc>
        <w:tc>
          <w:tcPr>
            <w:tcW w:w="562" w:type="dxa"/>
          </w:tcPr>
          <w:p w:rsidR="00492D2F" w:rsidRDefault="00492D2F">
            <w:pPr>
              <w:pStyle w:val="ConsPlusNormal"/>
            </w:pPr>
          </w:p>
        </w:tc>
        <w:tc>
          <w:tcPr>
            <w:tcW w:w="523" w:type="dxa"/>
          </w:tcPr>
          <w:p w:rsidR="00492D2F" w:rsidRDefault="00492D2F">
            <w:pPr>
              <w:pStyle w:val="ConsPlusNormal"/>
            </w:pPr>
          </w:p>
        </w:tc>
        <w:tc>
          <w:tcPr>
            <w:tcW w:w="494" w:type="dxa"/>
          </w:tcPr>
          <w:p w:rsidR="00492D2F" w:rsidRDefault="00492D2F">
            <w:pPr>
              <w:pStyle w:val="ConsPlusNormal"/>
            </w:pPr>
          </w:p>
        </w:tc>
      </w:tr>
    </w:tbl>
    <w:p w:rsidR="00492D2F" w:rsidRDefault="00492D2F">
      <w:pPr>
        <w:pStyle w:val="ConsPlusNormal"/>
        <w:jc w:val="both"/>
      </w:pPr>
    </w:p>
    <w:p w:rsidR="00492D2F" w:rsidRDefault="00492D2F">
      <w:pPr>
        <w:pStyle w:val="ConsPlusNormal"/>
        <w:ind w:firstLine="540"/>
        <w:jc w:val="both"/>
      </w:pPr>
      <w:r>
        <w:t>14.1. Признак казначейского счета принимает значение "0".</w:t>
      </w:r>
    </w:p>
    <w:p w:rsidR="00492D2F" w:rsidRDefault="00492D2F">
      <w:pPr>
        <w:pStyle w:val="ConsPlusNormal"/>
        <w:spacing w:before="220"/>
        <w:ind w:firstLine="540"/>
        <w:jc w:val="both"/>
      </w:pPr>
      <w:r>
        <w:t>14.2. Код вида казначейского счета в номере казначейского счета принимает следующие значения:</w:t>
      </w:r>
    </w:p>
    <w:p w:rsidR="00492D2F" w:rsidRDefault="00492D2F">
      <w:pPr>
        <w:pStyle w:val="ConsPlusNormal"/>
        <w:spacing w:before="220"/>
        <w:ind w:firstLine="540"/>
        <w:jc w:val="both"/>
      </w:pPr>
      <w:r>
        <w:t>3100 - средства поступлений, являющихся источниками формирования доходов бюджетов бюджетной системы Российской Федерации;</w:t>
      </w:r>
    </w:p>
    <w:p w:rsidR="00492D2F" w:rsidRDefault="00492D2F">
      <w:pPr>
        <w:pStyle w:val="ConsPlusNormal"/>
        <w:spacing w:before="220"/>
        <w:ind w:firstLine="540"/>
        <w:jc w:val="both"/>
      </w:pPr>
      <w:r>
        <w:t>3211 - средства федерального бюджета;</w:t>
      </w:r>
    </w:p>
    <w:p w:rsidR="00492D2F" w:rsidRDefault="00492D2F">
      <w:pPr>
        <w:pStyle w:val="ConsPlusNormal"/>
        <w:spacing w:before="220"/>
        <w:ind w:firstLine="540"/>
        <w:jc w:val="both"/>
      </w:pPr>
      <w:r>
        <w:t>3212 - средства, поступающие во временное распоряжение получателей средств федерального бюджета;</w:t>
      </w:r>
    </w:p>
    <w:p w:rsidR="00492D2F" w:rsidRDefault="00492D2F">
      <w:pPr>
        <w:pStyle w:val="ConsPlusNormal"/>
        <w:spacing w:before="220"/>
        <w:ind w:firstLine="540"/>
        <w:jc w:val="both"/>
      </w:pPr>
      <w:r>
        <w:t>3214 - средства федеральных бюджетных и автономных учреждений;</w:t>
      </w:r>
    </w:p>
    <w:p w:rsidR="00492D2F" w:rsidRDefault="00492D2F">
      <w:pPr>
        <w:pStyle w:val="ConsPlusNormal"/>
        <w:spacing w:before="220"/>
        <w:ind w:firstLine="540"/>
        <w:jc w:val="both"/>
      </w:pPr>
      <w:r>
        <w:t>3215 - средства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федерального бюджета;</w:t>
      </w:r>
    </w:p>
    <w:p w:rsidR="00492D2F" w:rsidRDefault="00492D2F">
      <w:pPr>
        <w:pStyle w:val="ConsPlusNormal"/>
        <w:spacing w:before="220"/>
        <w:ind w:firstLine="540"/>
        <w:jc w:val="both"/>
      </w:pPr>
      <w:r>
        <w:t>3217 - средства Фонда национального благосостояния;</w:t>
      </w:r>
    </w:p>
    <w:p w:rsidR="00492D2F" w:rsidRDefault="00492D2F">
      <w:pPr>
        <w:pStyle w:val="ConsPlusNormal"/>
        <w:spacing w:before="220"/>
        <w:ind w:firstLine="540"/>
        <w:jc w:val="both"/>
      </w:pPr>
      <w:r>
        <w:t>3221 - средства бюджетов субъектов Российской Федерации;</w:t>
      </w:r>
    </w:p>
    <w:p w:rsidR="00492D2F" w:rsidRDefault="00492D2F">
      <w:pPr>
        <w:pStyle w:val="ConsPlusNormal"/>
        <w:spacing w:before="220"/>
        <w:ind w:firstLine="540"/>
        <w:jc w:val="both"/>
      </w:pPr>
      <w:r>
        <w:t>3222 - средства, поступающие во временное распоряжение получателей средств бюджетов субъектов Российской Федерации;</w:t>
      </w:r>
    </w:p>
    <w:p w:rsidR="00492D2F" w:rsidRDefault="00492D2F">
      <w:pPr>
        <w:pStyle w:val="ConsPlusNormal"/>
        <w:spacing w:before="220"/>
        <w:ind w:firstLine="540"/>
        <w:jc w:val="both"/>
      </w:pPr>
      <w:r>
        <w:t>3224 - средства бюджетных и автономных учреждений субъектов Российской Федерации;</w:t>
      </w:r>
    </w:p>
    <w:p w:rsidR="00492D2F" w:rsidRDefault="00492D2F">
      <w:pPr>
        <w:pStyle w:val="ConsPlusNormal"/>
        <w:spacing w:before="220"/>
        <w:ind w:firstLine="540"/>
        <w:jc w:val="both"/>
      </w:pPr>
      <w:r>
        <w:t>3225 - средства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бюджетов субъектов Российской Федерации;</w:t>
      </w:r>
    </w:p>
    <w:p w:rsidR="00492D2F" w:rsidRDefault="00492D2F">
      <w:pPr>
        <w:pStyle w:val="ConsPlusNormal"/>
        <w:spacing w:before="220"/>
        <w:ind w:firstLine="540"/>
        <w:jc w:val="both"/>
      </w:pPr>
      <w:r>
        <w:t>3231 - средства местных бюджетов;</w:t>
      </w:r>
    </w:p>
    <w:p w:rsidR="00492D2F" w:rsidRDefault="00492D2F">
      <w:pPr>
        <w:pStyle w:val="ConsPlusNormal"/>
        <w:spacing w:before="220"/>
        <w:ind w:firstLine="540"/>
        <w:jc w:val="both"/>
      </w:pPr>
      <w:r>
        <w:t xml:space="preserve">3232 - средства, поступающие во временное распоряжение получателей средств местных </w:t>
      </w:r>
      <w:r>
        <w:lastRenderedPageBreak/>
        <w:t>бюджетов;</w:t>
      </w:r>
    </w:p>
    <w:p w:rsidR="00492D2F" w:rsidRDefault="00492D2F">
      <w:pPr>
        <w:pStyle w:val="ConsPlusNormal"/>
        <w:spacing w:before="220"/>
        <w:ind w:firstLine="540"/>
        <w:jc w:val="both"/>
      </w:pPr>
      <w:r>
        <w:t>3234 - средства муниципальных бюджетных и автономных учреждений;</w:t>
      </w:r>
    </w:p>
    <w:p w:rsidR="00492D2F" w:rsidRDefault="00492D2F">
      <w:pPr>
        <w:pStyle w:val="ConsPlusNormal"/>
        <w:spacing w:before="220"/>
        <w:ind w:firstLine="540"/>
        <w:jc w:val="both"/>
      </w:pPr>
      <w:r>
        <w:t>3235 - средства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местных бюджетов;</w:t>
      </w:r>
    </w:p>
    <w:p w:rsidR="00492D2F" w:rsidRDefault="00492D2F">
      <w:pPr>
        <w:pStyle w:val="ConsPlusNormal"/>
        <w:spacing w:before="220"/>
        <w:ind w:firstLine="540"/>
        <w:jc w:val="both"/>
      </w:pPr>
      <w:r>
        <w:t>3241 - средства бюджета Пенсионного фонда Российской Федерации;</w:t>
      </w:r>
    </w:p>
    <w:p w:rsidR="00492D2F" w:rsidRDefault="00492D2F">
      <w:pPr>
        <w:pStyle w:val="ConsPlusNormal"/>
        <w:spacing w:before="220"/>
        <w:ind w:firstLine="540"/>
        <w:jc w:val="both"/>
      </w:pPr>
      <w:r>
        <w:t>3242 - средства, поступающие во временное распоряжение получателей средств бюджета Пенсионного фонда Российской Федерации;</w:t>
      </w:r>
    </w:p>
    <w:p w:rsidR="00492D2F" w:rsidRDefault="00492D2F">
      <w:pPr>
        <w:pStyle w:val="ConsPlusNormal"/>
        <w:spacing w:before="220"/>
        <w:ind w:firstLine="540"/>
        <w:jc w:val="both"/>
      </w:pPr>
      <w:r>
        <w:t>3251 - средства бюджета Фонда социального страхования Российской Федерации;</w:t>
      </w:r>
    </w:p>
    <w:p w:rsidR="00492D2F" w:rsidRDefault="00492D2F">
      <w:pPr>
        <w:pStyle w:val="ConsPlusNormal"/>
        <w:spacing w:before="220"/>
        <w:ind w:firstLine="540"/>
        <w:jc w:val="both"/>
      </w:pPr>
      <w:r>
        <w:t>3252 - средства, поступающие во временное распоряжение получателей средств бюджета Фонда социального страхования Российской Федерации;</w:t>
      </w:r>
    </w:p>
    <w:p w:rsidR="00492D2F" w:rsidRDefault="00492D2F">
      <w:pPr>
        <w:pStyle w:val="ConsPlusNormal"/>
        <w:spacing w:before="220"/>
        <w:ind w:firstLine="540"/>
        <w:jc w:val="both"/>
      </w:pPr>
      <w:r>
        <w:t>3254 - средства бюджетных учреждений Фонда социального страхования Российской Федерации;</w:t>
      </w:r>
    </w:p>
    <w:p w:rsidR="00492D2F" w:rsidRDefault="00492D2F">
      <w:pPr>
        <w:pStyle w:val="ConsPlusNormal"/>
        <w:spacing w:before="220"/>
        <w:ind w:firstLine="540"/>
        <w:jc w:val="both"/>
      </w:pPr>
      <w:r>
        <w:t>3261 - средства бюджета Федерального фонда обязательного медицинского страхования;</w:t>
      </w:r>
    </w:p>
    <w:p w:rsidR="00492D2F" w:rsidRDefault="00492D2F">
      <w:pPr>
        <w:pStyle w:val="ConsPlusNormal"/>
        <w:spacing w:before="220"/>
        <w:ind w:firstLine="540"/>
        <w:jc w:val="both"/>
      </w:pPr>
      <w:r>
        <w:t>3262 - средства, поступающие во временное распоряжение получателей средств бюджета Федерального фонда обязательного медицинского страхования;</w:t>
      </w:r>
    </w:p>
    <w:p w:rsidR="00492D2F" w:rsidRDefault="00492D2F">
      <w:pPr>
        <w:pStyle w:val="ConsPlusNormal"/>
        <w:spacing w:before="220"/>
        <w:ind w:firstLine="540"/>
        <w:jc w:val="both"/>
      </w:pPr>
      <w:r>
        <w:t>3271 - средства бюджетов территориальных фондов обязательного медицинского страхования;</w:t>
      </w:r>
    </w:p>
    <w:p w:rsidR="00492D2F" w:rsidRDefault="00492D2F">
      <w:pPr>
        <w:pStyle w:val="ConsPlusNormal"/>
        <w:spacing w:before="220"/>
        <w:ind w:firstLine="540"/>
        <w:jc w:val="both"/>
      </w:pPr>
      <w:r>
        <w:t>3272 - средства, поступающие во временное распоряжение получателей средств бюджетов территориальных фондов обязательного медицинского страхования;</w:t>
      </w:r>
    </w:p>
    <w:p w:rsidR="00492D2F" w:rsidRDefault="00492D2F">
      <w:pPr>
        <w:pStyle w:val="ConsPlusNormal"/>
        <w:spacing w:before="220"/>
        <w:ind w:firstLine="540"/>
        <w:jc w:val="both"/>
      </w:pPr>
      <w:r>
        <w:t>3420 - средства единого казначейского счета до выяснения принадлежности;</w:t>
      </w:r>
    </w:p>
    <w:p w:rsidR="00492D2F" w:rsidRDefault="00492D2F">
      <w:pPr>
        <w:pStyle w:val="ConsPlusNormal"/>
        <w:spacing w:before="220"/>
        <w:ind w:firstLine="540"/>
        <w:jc w:val="both"/>
      </w:pPr>
      <w:r>
        <w:t>4100 - финансовый результат по операциям по управлению остатками средств на едином казначейском счете.</w:t>
      </w:r>
    </w:p>
    <w:p w:rsidR="00492D2F" w:rsidRDefault="00492D2F">
      <w:pPr>
        <w:pStyle w:val="ConsPlusNormal"/>
        <w:spacing w:before="220"/>
        <w:ind w:firstLine="540"/>
        <w:jc w:val="both"/>
      </w:pPr>
      <w:r>
        <w:t xml:space="preserve">14.3. Код валюты в номере казначейского счета присваивается в соответствии с Общероссийским </w:t>
      </w:r>
      <w:hyperlink r:id="rId9" w:history="1">
        <w:r>
          <w:rPr>
            <w:color w:val="0000FF"/>
          </w:rPr>
          <w:t>классификатором</w:t>
        </w:r>
      </w:hyperlink>
      <w:r>
        <w:t xml:space="preserve"> валют.</w:t>
      </w:r>
    </w:p>
    <w:p w:rsidR="00492D2F" w:rsidRDefault="00492D2F">
      <w:pPr>
        <w:pStyle w:val="ConsPlusNormal"/>
        <w:spacing w:before="220"/>
        <w:ind w:firstLine="540"/>
        <w:jc w:val="both"/>
      </w:pPr>
      <w:r>
        <w:t xml:space="preserve">14.4. Идентификатор публично-правового образования в номере казначейского счета соответствует коду по Общероссийскому </w:t>
      </w:r>
      <w:hyperlink r:id="rId10" w:history="1">
        <w:r>
          <w:rPr>
            <w:color w:val="0000FF"/>
          </w:rPr>
          <w:t>классификатору</w:t>
        </w:r>
      </w:hyperlink>
      <w:r>
        <w:t xml:space="preserve"> территорий муниципальных образований (далее - код ОКТМО) с учетом следующих особенностей:</w:t>
      </w:r>
    </w:p>
    <w:p w:rsidR="00492D2F" w:rsidRDefault="00492D2F">
      <w:pPr>
        <w:pStyle w:val="ConsPlusNormal"/>
        <w:spacing w:before="220"/>
        <w:ind w:firstLine="540"/>
        <w:jc w:val="both"/>
      </w:pPr>
      <w:r>
        <w:t xml:space="preserve">федеральному бюджету соответствует код </w:t>
      </w:r>
      <w:hyperlink r:id="rId11" w:history="1">
        <w:r>
          <w:rPr>
            <w:color w:val="0000FF"/>
          </w:rPr>
          <w:t>ОКТМО</w:t>
        </w:r>
      </w:hyperlink>
      <w:r>
        <w:t xml:space="preserve"> "00 000 001";</w:t>
      </w:r>
    </w:p>
    <w:p w:rsidR="00492D2F" w:rsidRDefault="00492D2F">
      <w:pPr>
        <w:pStyle w:val="ConsPlusNormal"/>
        <w:spacing w:before="220"/>
        <w:ind w:firstLine="540"/>
        <w:jc w:val="both"/>
      </w:pPr>
      <w:r>
        <w:t xml:space="preserve">бюджету Пенсионного фонда Российской Федерации соответствует код </w:t>
      </w:r>
      <w:hyperlink r:id="rId12" w:history="1">
        <w:r>
          <w:rPr>
            <w:color w:val="0000FF"/>
          </w:rPr>
          <w:t>ОКТМО</w:t>
        </w:r>
      </w:hyperlink>
      <w:r>
        <w:t xml:space="preserve"> "00 000 006";</w:t>
      </w:r>
    </w:p>
    <w:p w:rsidR="00492D2F" w:rsidRDefault="00492D2F">
      <w:pPr>
        <w:pStyle w:val="ConsPlusNormal"/>
        <w:spacing w:before="220"/>
        <w:ind w:firstLine="540"/>
        <w:jc w:val="both"/>
      </w:pPr>
      <w:r>
        <w:t xml:space="preserve">бюджету Фонда социального страхования соответствует код </w:t>
      </w:r>
      <w:hyperlink r:id="rId13" w:history="1">
        <w:r>
          <w:rPr>
            <w:color w:val="0000FF"/>
          </w:rPr>
          <w:t>ОКТМО</w:t>
        </w:r>
      </w:hyperlink>
      <w:r>
        <w:t xml:space="preserve"> "00 000 007";</w:t>
      </w:r>
    </w:p>
    <w:p w:rsidR="00492D2F" w:rsidRDefault="00492D2F">
      <w:pPr>
        <w:pStyle w:val="ConsPlusNormal"/>
        <w:spacing w:before="220"/>
        <w:ind w:firstLine="540"/>
        <w:jc w:val="both"/>
      </w:pPr>
      <w:r>
        <w:t xml:space="preserve">бюджету Фонда обязательного медицинского страхования соответствует код </w:t>
      </w:r>
      <w:hyperlink r:id="rId14" w:history="1">
        <w:r>
          <w:rPr>
            <w:color w:val="0000FF"/>
          </w:rPr>
          <w:t>ОКТМО</w:t>
        </w:r>
      </w:hyperlink>
      <w:r>
        <w:t xml:space="preserve"> "00 000 008";</w:t>
      </w:r>
    </w:p>
    <w:p w:rsidR="00492D2F" w:rsidRDefault="00492D2F">
      <w:pPr>
        <w:pStyle w:val="ConsPlusNormal"/>
        <w:spacing w:before="220"/>
        <w:ind w:firstLine="540"/>
        <w:jc w:val="both"/>
      </w:pPr>
      <w:r>
        <w:t xml:space="preserve">бюджету субъекта Российской Федерации соответствует код </w:t>
      </w:r>
      <w:hyperlink r:id="rId15" w:history="1">
        <w:r>
          <w:rPr>
            <w:color w:val="0000FF"/>
          </w:rPr>
          <w:t>ОКТМО</w:t>
        </w:r>
      </w:hyperlink>
      <w:r>
        <w:t>, имеющий ненулевое значение в первых двух разрядах кода (трех разрядах кода - для Ямало-Ненецкого, Ханты-Мансийского и Ненецкого автономных округов), а в остальных разрядах кода - нули (XX 000 000, XX X00 000), отражающий принадлежность к субъекту Российской Федерации;</w:t>
      </w:r>
    </w:p>
    <w:p w:rsidR="00492D2F" w:rsidRDefault="00492D2F">
      <w:pPr>
        <w:pStyle w:val="ConsPlusNormal"/>
        <w:spacing w:before="220"/>
        <w:ind w:firstLine="540"/>
        <w:jc w:val="both"/>
      </w:pPr>
      <w:r>
        <w:lastRenderedPageBreak/>
        <w:t xml:space="preserve">бюджету территориального фонда обязательного медицинского страхования соответствует код </w:t>
      </w:r>
      <w:hyperlink r:id="rId16" w:history="1">
        <w:r>
          <w:rPr>
            <w:color w:val="0000FF"/>
          </w:rPr>
          <w:t>ОКТМО</w:t>
        </w:r>
      </w:hyperlink>
      <w:r>
        <w:t xml:space="preserve"> - "XX 000 009" ("XX X00 009"), где первые два разряда кода (три разряда кода - для Ямало-Ненецкого, Ханты-Мансийского и Ненецкого автономных округов) определяют принадлежность территориального фонда к субъекту Российской Федерации.</w:t>
      </w:r>
    </w:p>
    <w:p w:rsidR="00492D2F" w:rsidRDefault="00492D2F">
      <w:pPr>
        <w:pStyle w:val="ConsPlusNormal"/>
        <w:spacing w:before="220"/>
        <w:ind w:firstLine="540"/>
        <w:jc w:val="both"/>
      </w:pPr>
      <w:r>
        <w:t>14.5. Код территориального органа Федерального казначейства, указанный в номере казначейского счета, присваивается Федеральным казначейством.</w:t>
      </w:r>
    </w:p>
    <w:p w:rsidR="00492D2F" w:rsidRDefault="00492D2F">
      <w:pPr>
        <w:pStyle w:val="ConsPlusNormal"/>
        <w:spacing w:before="220"/>
        <w:ind w:firstLine="540"/>
        <w:jc w:val="both"/>
      </w:pPr>
      <w:r>
        <w:t>14.6. Порядковый номер счета используется при открытии нескольких казначейских счетов одного вида.</w:t>
      </w:r>
    </w:p>
    <w:p w:rsidR="00492D2F" w:rsidRDefault="00492D2F">
      <w:pPr>
        <w:pStyle w:val="ConsPlusNormal"/>
        <w:jc w:val="both"/>
      </w:pPr>
    </w:p>
    <w:p w:rsidR="00492D2F" w:rsidRDefault="00492D2F">
      <w:pPr>
        <w:pStyle w:val="ConsPlusTitle"/>
        <w:jc w:val="center"/>
        <w:outlineLvl w:val="1"/>
      </w:pPr>
      <w:r>
        <w:t>II. Открытие казначейских счетов</w:t>
      </w:r>
    </w:p>
    <w:p w:rsidR="00492D2F" w:rsidRDefault="00492D2F">
      <w:pPr>
        <w:pStyle w:val="ConsPlusNormal"/>
        <w:jc w:val="both"/>
      </w:pPr>
    </w:p>
    <w:p w:rsidR="00492D2F" w:rsidRDefault="00492D2F">
      <w:pPr>
        <w:pStyle w:val="ConsPlusNormal"/>
        <w:ind w:firstLine="540"/>
        <w:jc w:val="both"/>
      </w:pPr>
      <w:bookmarkStart w:id="2" w:name="P156"/>
      <w:bookmarkEnd w:id="2"/>
      <w:r>
        <w:t>15. Для открытия казначейского счета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представляют в территориальный орган Федерального казначейства:</w:t>
      </w:r>
    </w:p>
    <w:p w:rsidR="00492D2F" w:rsidRDefault="00492D2F">
      <w:pPr>
        <w:pStyle w:val="ConsPlusNormal"/>
        <w:spacing w:before="220"/>
        <w:ind w:firstLine="540"/>
        <w:jc w:val="both"/>
      </w:pPr>
      <w:r>
        <w:t xml:space="preserve">а) Заявление на открытие казначейского счета, содержащее реквизиты согласно </w:t>
      </w:r>
      <w:hyperlink w:anchor="P232" w:history="1">
        <w:r>
          <w:rPr>
            <w:color w:val="0000FF"/>
          </w:rPr>
          <w:t>приложению N 1</w:t>
        </w:r>
      </w:hyperlink>
      <w:r>
        <w:t xml:space="preserve"> к настоящему Порядку;</w:t>
      </w:r>
    </w:p>
    <w:p w:rsidR="00492D2F" w:rsidRDefault="00492D2F">
      <w:pPr>
        <w:pStyle w:val="ConsPlusNormal"/>
        <w:spacing w:before="220"/>
        <w:ind w:firstLine="540"/>
        <w:jc w:val="both"/>
      </w:pPr>
      <w:r>
        <w:t xml:space="preserve">б) Карточку образцов подписей к казначейским счетам по форме согласно </w:t>
      </w:r>
      <w:hyperlink w:anchor="P264" w:history="1">
        <w:r>
          <w:rPr>
            <w:color w:val="0000FF"/>
          </w:rPr>
          <w:t>приложению N 2</w:t>
        </w:r>
      </w:hyperlink>
      <w:r>
        <w:t xml:space="preserve"> к настоящему Порядку (далее - Карточка образцов подписей).</w:t>
      </w:r>
    </w:p>
    <w:p w:rsidR="00492D2F" w:rsidRDefault="00492D2F">
      <w:pPr>
        <w:pStyle w:val="ConsPlusNormal"/>
        <w:spacing w:before="220"/>
        <w:ind w:firstLine="540"/>
        <w:jc w:val="both"/>
      </w:pPr>
      <w:r>
        <w:t>Документы, представленные в соответствии с настоящим Порядком в территориальный орган Федерального казначейства, для открытия казначейского счета, формируются в дело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492D2F" w:rsidRDefault="00492D2F">
      <w:pPr>
        <w:pStyle w:val="ConsPlusNormal"/>
        <w:spacing w:before="220"/>
        <w:ind w:firstLine="540"/>
        <w:jc w:val="both"/>
      </w:pPr>
      <w:r>
        <w:t>По всем казначейским счетам, открытым в территориальном органе Федерального казначейства, оформляется единое дело соответственно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492D2F" w:rsidRDefault="00492D2F">
      <w:pPr>
        <w:pStyle w:val="ConsPlusNormal"/>
        <w:spacing w:before="220"/>
        <w:ind w:firstLine="540"/>
        <w:jc w:val="both"/>
      </w:pPr>
      <w:bookmarkStart w:id="3" w:name="P161"/>
      <w:bookmarkEnd w:id="3"/>
      <w:r>
        <w:t xml:space="preserve">16. Оформление </w:t>
      </w:r>
      <w:hyperlink w:anchor="P264" w:history="1">
        <w:r>
          <w:rPr>
            <w:color w:val="0000FF"/>
          </w:rPr>
          <w:t>Карточки</w:t>
        </w:r>
      </w:hyperlink>
      <w:r>
        <w:t xml:space="preserve"> образцов подписей осуществляется следующим образом.</w:t>
      </w:r>
    </w:p>
    <w:p w:rsidR="00492D2F" w:rsidRDefault="00492D2F">
      <w:pPr>
        <w:pStyle w:val="ConsPlusNormal"/>
        <w:spacing w:before="220"/>
        <w:ind w:firstLine="540"/>
        <w:jc w:val="both"/>
      </w:pPr>
      <w:r>
        <w:t xml:space="preserve">В </w:t>
      </w:r>
      <w:hyperlink w:anchor="P264" w:history="1">
        <w:r>
          <w:rPr>
            <w:color w:val="0000FF"/>
          </w:rPr>
          <w:t>наименовании</w:t>
        </w:r>
      </w:hyperlink>
      <w:r>
        <w:t xml:space="preserve"> формы Карточки образцов подписей проставляется номер, присвоенный ей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Территориальный орган Федерального казначейства в </w:t>
      </w:r>
      <w:hyperlink w:anchor="P264" w:history="1">
        <w:r>
          <w:rPr>
            <w:color w:val="0000FF"/>
          </w:rPr>
          <w:t>наименовании</w:t>
        </w:r>
      </w:hyperlink>
      <w:r>
        <w:t xml:space="preserve"> формы Карточки образцов подписей проставляет </w:t>
      </w:r>
      <w:proofErr w:type="gramStart"/>
      <w:r>
        <w:t>номера</w:t>
      </w:r>
      <w:proofErr w:type="gramEnd"/>
      <w:r>
        <w:t xml:space="preserve"> открытых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казначейских счетов (или зачеркивает номера закрытых казначейских счетов).</w:t>
      </w:r>
    </w:p>
    <w:p w:rsidR="00492D2F" w:rsidRDefault="00492D2F">
      <w:pPr>
        <w:pStyle w:val="ConsPlusNormal"/>
        <w:spacing w:before="220"/>
        <w:ind w:firstLine="540"/>
        <w:jc w:val="both"/>
      </w:pPr>
      <w:r>
        <w:t xml:space="preserve">В заголовочной </w:t>
      </w:r>
      <w:hyperlink w:anchor="P264" w:history="1">
        <w:r>
          <w:rPr>
            <w:color w:val="0000FF"/>
          </w:rPr>
          <w:t>части</w:t>
        </w:r>
      </w:hyperlink>
      <w:r>
        <w:t xml:space="preserve"> формы Карточки образцов подписей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указываются:</w:t>
      </w:r>
    </w:p>
    <w:p w:rsidR="00492D2F" w:rsidRDefault="00492D2F">
      <w:pPr>
        <w:pStyle w:val="ConsPlusNormal"/>
        <w:spacing w:before="220"/>
        <w:ind w:firstLine="540"/>
        <w:jc w:val="both"/>
      </w:pPr>
      <w:hyperlink w:anchor="P275" w:history="1">
        <w:r>
          <w:rPr>
            <w:color w:val="0000FF"/>
          </w:rPr>
          <w:t>дата</w:t>
        </w:r>
      </w:hyperlink>
      <w:r>
        <w:t xml:space="preserve"> составления документа, с отражением в кодовой зоне даты в формате "день, месяц, год" (00.00.0000);</w:t>
      </w:r>
    </w:p>
    <w:p w:rsidR="00492D2F" w:rsidRDefault="00492D2F">
      <w:pPr>
        <w:pStyle w:val="ConsPlusNormal"/>
        <w:spacing w:before="220"/>
        <w:ind w:firstLine="540"/>
        <w:jc w:val="both"/>
      </w:pPr>
      <w:r>
        <w:t xml:space="preserve">по </w:t>
      </w:r>
      <w:hyperlink w:anchor="P278" w:history="1">
        <w:r>
          <w:rPr>
            <w:color w:val="0000FF"/>
          </w:rPr>
          <w:t>строке</w:t>
        </w:r>
      </w:hyperlink>
      <w:r>
        <w:t xml:space="preserve"> "Наименование клиента" - полное и сокращенное (используется при составлении распоряжений о совершении казначейского платежа в случае, когда информация, подлежащая </w:t>
      </w:r>
      <w:r>
        <w:lastRenderedPageBreak/>
        <w:t>заполнению в обязательном порядке, имеет ограничение по числу символов) наименование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и сокращенным наименованием (с учетом символа "N", кавычек, скобок, знаков препинания), указанным в его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ведение которого осуществляется в порядке, установленном Министерством финансов Российской Федерации &lt;1&gt;, с отражением в кодовой зоне кода по Сводному реестру, кода по Общероссийскому классификатору предприятий и организаций (далее - ОКПО), идентификационного номера налогоплательщика (далее - ИНН) и кода причины постановки на учет (далее - КПП).</w:t>
      </w:r>
    </w:p>
    <w:p w:rsidR="00492D2F" w:rsidRDefault="00492D2F">
      <w:pPr>
        <w:pStyle w:val="ConsPlusNormal"/>
        <w:spacing w:before="220"/>
        <w:ind w:firstLine="540"/>
        <w:jc w:val="both"/>
      </w:pPr>
      <w:r>
        <w:t>--------------------------------</w:t>
      </w:r>
    </w:p>
    <w:p w:rsidR="00492D2F" w:rsidRDefault="00492D2F">
      <w:pPr>
        <w:pStyle w:val="ConsPlusNormal"/>
        <w:spacing w:before="220"/>
        <w:ind w:firstLine="540"/>
        <w:jc w:val="both"/>
      </w:pPr>
      <w:r>
        <w:t xml:space="preserve">&lt;1&gt; </w:t>
      </w:r>
      <w:hyperlink r:id="rId17" w:history="1">
        <w:r>
          <w:rPr>
            <w:color w:val="0000FF"/>
          </w:rPr>
          <w:t>Приказ</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Министерством юстиции Российской Федерации 9 февраля 2015 г., регистрационный номер 35954), с изменениями, внесенными приказами Министерства финансов Российской Федерации от 3 ноября 2016 г. N 203н (зарегистрирован Министерством юстиции Российской Федерации 2 декабря 2016 г., регистрационный номер 44545), от 27 ноября 2017 г. N 204н (зарегистрирован Министерством юстиции Российской Федерации 21 декабря 2017 г., регистрационный номер 49355), от 7 июня 2019 г. N 89н (зарегистрирован Министерством юстиции Российской Федерации 4 июля 2019 г., регистрационный номер 55128).</w:t>
      </w:r>
    </w:p>
    <w:p w:rsidR="00492D2F" w:rsidRDefault="00492D2F">
      <w:pPr>
        <w:pStyle w:val="ConsPlusNormal"/>
        <w:jc w:val="both"/>
      </w:pPr>
    </w:p>
    <w:p w:rsidR="00492D2F" w:rsidRDefault="00492D2F">
      <w:pPr>
        <w:pStyle w:val="ConsPlusNormal"/>
        <w:ind w:firstLine="540"/>
        <w:jc w:val="both"/>
      </w:pPr>
      <w:hyperlink w:anchor="P292" w:history="1">
        <w:r>
          <w:rPr>
            <w:color w:val="0000FF"/>
          </w:rPr>
          <w:t>Раздел</w:t>
        </w:r>
      </w:hyperlink>
      <w:r>
        <w:t xml:space="preserve"> "Образцы подписей должностных лиц клиента, имеющих право подписи распоряжений и иных документов при совершении операции по казначейскому счету" заполняется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следующим образом.</w:t>
      </w:r>
    </w:p>
    <w:p w:rsidR="00492D2F" w:rsidRDefault="00492D2F">
      <w:pPr>
        <w:pStyle w:val="ConsPlusNormal"/>
        <w:spacing w:before="220"/>
        <w:ind w:firstLine="540"/>
        <w:jc w:val="both"/>
      </w:pPr>
      <w:r>
        <w:t xml:space="preserve">В </w:t>
      </w:r>
      <w:hyperlink w:anchor="P300" w:history="1">
        <w:r>
          <w:rPr>
            <w:color w:val="0000FF"/>
          </w:rPr>
          <w:t>графе 2</w:t>
        </w:r>
      </w:hyperlink>
      <w:r>
        <w:t xml:space="preserve"> указываются полные наименования должностей должностных лиц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имеющих соответственно право первой или второй подписи.</w:t>
      </w:r>
    </w:p>
    <w:p w:rsidR="00492D2F" w:rsidRDefault="00492D2F">
      <w:pPr>
        <w:pStyle w:val="ConsPlusNormal"/>
        <w:spacing w:before="220"/>
        <w:ind w:firstLine="540"/>
        <w:jc w:val="both"/>
      </w:pPr>
      <w:r>
        <w:t xml:space="preserve">В </w:t>
      </w:r>
      <w:hyperlink w:anchor="P301" w:history="1">
        <w:r>
          <w:rPr>
            <w:color w:val="0000FF"/>
          </w:rPr>
          <w:t>графе 3</w:t>
        </w:r>
      </w:hyperlink>
      <w:r>
        <w:t xml:space="preserve"> указываются полностью без сокращений фамилии, имена и отчества (при наличии) должностных лиц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которым предоставляется право подписи документов при совершении операций по казначейскому счету (казначейским счетам).</w:t>
      </w:r>
    </w:p>
    <w:p w:rsidR="00492D2F" w:rsidRDefault="00492D2F">
      <w:pPr>
        <w:pStyle w:val="ConsPlusNormal"/>
        <w:spacing w:before="220"/>
        <w:ind w:firstLine="540"/>
        <w:jc w:val="both"/>
      </w:pPr>
      <w:r>
        <w:t xml:space="preserve">В </w:t>
      </w:r>
      <w:hyperlink w:anchor="P302" w:history="1">
        <w:r>
          <w:rPr>
            <w:color w:val="0000FF"/>
          </w:rPr>
          <w:t>графе 4</w:t>
        </w:r>
      </w:hyperlink>
      <w:r>
        <w:t xml:space="preserve"> проставляются образцы подписей соответствующих должностных лиц.</w:t>
      </w:r>
    </w:p>
    <w:p w:rsidR="00492D2F" w:rsidRDefault="00492D2F">
      <w:pPr>
        <w:pStyle w:val="ConsPlusNormal"/>
        <w:spacing w:before="220"/>
        <w:ind w:firstLine="540"/>
        <w:jc w:val="both"/>
      </w:pPr>
      <w:r>
        <w:t xml:space="preserve">В </w:t>
      </w:r>
      <w:hyperlink w:anchor="P303" w:history="1">
        <w:r>
          <w:rPr>
            <w:color w:val="0000FF"/>
          </w:rPr>
          <w:t>графе 5</w:t>
        </w:r>
      </w:hyperlink>
      <w: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Карточки образцов подписей.</w:t>
      </w:r>
    </w:p>
    <w:p w:rsidR="00492D2F" w:rsidRDefault="00492D2F">
      <w:pPr>
        <w:pStyle w:val="ConsPlusNormal"/>
        <w:spacing w:before="220"/>
        <w:ind w:firstLine="540"/>
        <w:jc w:val="both"/>
      </w:pPr>
      <w:hyperlink w:anchor="P264" w:history="1">
        <w:r>
          <w:rPr>
            <w:color w:val="0000FF"/>
          </w:rPr>
          <w:t>Карточка</w:t>
        </w:r>
      </w:hyperlink>
      <w:r>
        <w:t xml:space="preserve"> образцов подписей подписывается:</w:t>
      </w:r>
    </w:p>
    <w:p w:rsidR="00492D2F" w:rsidRDefault="00492D2F">
      <w:pPr>
        <w:pStyle w:val="ConsPlusNormal"/>
        <w:spacing w:before="220"/>
        <w:ind w:firstLine="540"/>
        <w:jc w:val="both"/>
      </w:pPr>
      <w:r>
        <w:t xml:space="preserve">руководителем (уполномоченным им лицом с указанием должности)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с </w:t>
      </w:r>
      <w:r>
        <w:lastRenderedPageBreak/>
        <w:t>указанием расшифровки его подписи, содержащей полные (без сокращения) фамилию, имя и отчество;</w:t>
      </w:r>
    </w:p>
    <w:p w:rsidR="00492D2F" w:rsidRDefault="00492D2F">
      <w:pPr>
        <w:pStyle w:val="ConsPlusNormal"/>
        <w:spacing w:before="220"/>
        <w:ind w:firstLine="540"/>
        <w:jc w:val="both"/>
      </w:pPr>
      <w:r>
        <w:t>главным бухгалтером (уполномоченным руководителем лицом с указанием должности)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с указанием расшифровки его подписи, содержащей полные (без сокращения) фамилию, имя и отчество, и даты подписания Карточки образцов подписей.</w:t>
      </w:r>
    </w:p>
    <w:p w:rsidR="00492D2F" w:rsidRDefault="00492D2F">
      <w:pPr>
        <w:pStyle w:val="ConsPlusNormal"/>
        <w:spacing w:before="220"/>
        <w:ind w:firstLine="540"/>
        <w:jc w:val="both"/>
      </w:pPr>
      <w:r>
        <w:t>На подписи ставится оттиск печати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так, чтобы подписи и расшифровки подписи читались ясно и четко.</w:t>
      </w:r>
    </w:p>
    <w:p w:rsidR="00492D2F" w:rsidRDefault="00492D2F">
      <w:pPr>
        <w:pStyle w:val="ConsPlusNormal"/>
        <w:spacing w:before="220"/>
        <w:ind w:firstLine="540"/>
        <w:jc w:val="both"/>
      </w:pPr>
      <w:r>
        <w:t xml:space="preserve">17. </w:t>
      </w:r>
      <w:hyperlink w:anchor="P264" w:history="1">
        <w:r>
          <w:rPr>
            <w:color w:val="0000FF"/>
          </w:rPr>
          <w:t>Карточка</w:t>
        </w:r>
      </w:hyperlink>
      <w:r>
        <w:t xml:space="preserve"> образцов подписей оформляется и представляется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с учетом следующих особенностей:</w:t>
      </w:r>
    </w:p>
    <w:p w:rsidR="00492D2F" w:rsidRDefault="00492D2F">
      <w:pPr>
        <w:pStyle w:val="ConsPlusNormal"/>
        <w:spacing w:before="220"/>
        <w:ind w:firstLine="540"/>
        <w:jc w:val="both"/>
      </w:pPr>
      <w:r>
        <w:t xml:space="preserve">а) </w:t>
      </w:r>
      <w:hyperlink w:anchor="P264" w:history="1">
        <w:r>
          <w:rPr>
            <w:color w:val="0000FF"/>
          </w:rPr>
          <w:t>Карточка</w:t>
        </w:r>
      </w:hyperlink>
      <w:r>
        <w:t xml:space="preserve"> образцов подписей представляется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в территориальный орган Федерального казначейства в одном экземпляре;</w:t>
      </w:r>
    </w:p>
    <w:p w:rsidR="00492D2F" w:rsidRDefault="00492D2F">
      <w:pPr>
        <w:pStyle w:val="ConsPlusNormal"/>
        <w:spacing w:before="220"/>
        <w:ind w:firstLine="540"/>
        <w:jc w:val="both"/>
      </w:pPr>
      <w:r>
        <w:t>б) при смене руководителя (уполномоченного им лица) или главного бухгалтера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а также при назначении временно исполняющего обязанности руководителя или главного бухгалтера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случае освобождения руководителя или главного бухгалтера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от ранее занимаемой должности представляется новая Карточка образцов подписей с образцами подписей всех лиц, имеющих право первой и второй подписи;</w:t>
      </w:r>
    </w:p>
    <w:p w:rsidR="00492D2F" w:rsidRDefault="00492D2F">
      <w:pPr>
        <w:pStyle w:val="ConsPlusNormal"/>
        <w:spacing w:before="220"/>
        <w:ind w:firstLine="540"/>
        <w:jc w:val="both"/>
      </w:pPr>
      <w:bookmarkStart w:id="4" w:name="P181"/>
      <w:bookmarkEnd w:id="4"/>
      <w:r>
        <w:t>в) при назначении исполняющего обязанности руководителя или главного бухгалтера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дополнительно представляется Карточка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492D2F" w:rsidRDefault="00492D2F">
      <w:pPr>
        <w:pStyle w:val="ConsPlusNormal"/>
        <w:spacing w:before="220"/>
        <w:ind w:firstLine="540"/>
        <w:jc w:val="both"/>
      </w:pPr>
      <w:r>
        <w:t xml:space="preserve">г) при временном предоставлении лицу права первой или второй подписи (кроме случаев, предусмотренных </w:t>
      </w:r>
      <w:hyperlink w:anchor="P181" w:history="1">
        <w:r>
          <w:rPr>
            <w:color w:val="0000FF"/>
          </w:rPr>
          <w:t>подпунктом "в"</w:t>
        </w:r>
      </w:hyperlink>
      <w:r>
        <w:t xml:space="preserve"> настоящего пункта), а также при временной замене одного из лиц, включенных в </w:t>
      </w:r>
      <w:hyperlink w:anchor="P264" w:history="1">
        <w:r>
          <w:rPr>
            <w:color w:val="0000FF"/>
          </w:rPr>
          <w:t>Карточку</w:t>
        </w:r>
      </w:hyperlink>
      <w:r>
        <w:t xml:space="preserve"> образцов подписей, уполномоченных руководителем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новая Карточка образцов подписей не 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(уполномоченными руководителем лицами)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492D2F" w:rsidRDefault="00492D2F">
      <w:pPr>
        <w:pStyle w:val="ConsPlusNormal"/>
        <w:spacing w:before="220"/>
        <w:ind w:firstLine="540"/>
        <w:jc w:val="both"/>
      </w:pPr>
      <w:r>
        <w:lastRenderedPageBreak/>
        <w:t xml:space="preserve">Если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в соответствии с настоящим Порядком уже открыт казначейский счет, представление Карточки образцов подписей для открытия других казначейских счетов не требуется в случае, если лица, имеющие право подписывать документы, на основании которых осуществляются операции по вновь открываемым казначейским счетам, остаются прежними. В заголовочной части ранее представленной Карточки образцов подписей проставляются </w:t>
      </w:r>
      <w:proofErr w:type="gramStart"/>
      <w:r>
        <w:t>номера</w:t>
      </w:r>
      <w:proofErr w:type="gramEnd"/>
      <w:r>
        <w:t xml:space="preserve"> вновь открытых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казначейских счетов.</w:t>
      </w:r>
    </w:p>
    <w:p w:rsidR="00492D2F" w:rsidRDefault="00492D2F">
      <w:pPr>
        <w:pStyle w:val="ConsPlusNormal"/>
        <w:spacing w:before="220"/>
        <w:ind w:firstLine="540"/>
        <w:jc w:val="both"/>
      </w:pPr>
      <w: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казначейским счетам,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представляется новая, оформленная в соответствии с </w:t>
      </w:r>
      <w:hyperlink w:anchor="P161" w:history="1">
        <w:r>
          <w:rPr>
            <w:color w:val="0000FF"/>
          </w:rPr>
          <w:t>пунктом 16</w:t>
        </w:r>
      </w:hyperlink>
      <w:r>
        <w:t xml:space="preserve"> настоящего Порядка, </w:t>
      </w:r>
      <w:hyperlink w:anchor="P264" w:history="1">
        <w:r>
          <w:rPr>
            <w:color w:val="0000FF"/>
          </w:rPr>
          <w:t>Карточка</w:t>
        </w:r>
      </w:hyperlink>
      <w:r>
        <w:t xml:space="preserve"> образцов подписей с образцами подписей всех лиц, имеющих право первой и второй подписи.</w:t>
      </w:r>
    </w:p>
    <w:p w:rsidR="00492D2F" w:rsidRDefault="00492D2F">
      <w:pPr>
        <w:pStyle w:val="ConsPlusNormal"/>
        <w:spacing w:before="220"/>
        <w:ind w:firstLine="540"/>
        <w:jc w:val="both"/>
      </w:pPr>
      <w:r>
        <w:t xml:space="preserve">18. Территориальный орган Федерального казначейства не позднее следующего рабочего дня после представления документов для открытия казначейского счета, указанных в </w:t>
      </w:r>
      <w:hyperlink w:anchor="P156" w:history="1">
        <w:r>
          <w:rPr>
            <w:color w:val="0000FF"/>
          </w:rPr>
          <w:t>пункте 15</w:t>
        </w:r>
      </w:hyperlink>
      <w:r>
        <w:t xml:space="preserve"> настоящего Порядка, осуществляет проверку реквизитов, предусмотренных для заполнения, соответствие их сведениям в Сводном реестре и в случае положительного результата проверки осуществляет внесение записи в Книгу регистрации казначейских счетов, содержащую реквизиты согласно </w:t>
      </w:r>
      <w:hyperlink w:anchor="P378" w:history="1">
        <w:r>
          <w:rPr>
            <w:color w:val="0000FF"/>
          </w:rPr>
          <w:t>приложению N 3</w:t>
        </w:r>
      </w:hyperlink>
      <w:r>
        <w:t xml:space="preserve"> к настоящему Порядку, после чего казначейский счет считается открытым.</w:t>
      </w:r>
    </w:p>
    <w:p w:rsidR="00492D2F" w:rsidRDefault="00492D2F">
      <w:pPr>
        <w:pStyle w:val="ConsPlusNormal"/>
        <w:spacing w:before="220"/>
        <w:ind w:firstLine="540"/>
        <w:jc w:val="both"/>
      </w:pPr>
      <w:r>
        <w:t>Книга регистрации казначейских счетов формируется и ведется территориальными органами Федерального казначейства.</w:t>
      </w:r>
    </w:p>
    <w:p w:rsidR="00492D2F" w:rsidRDefault="00492D2F">
      <w:pPr>
        <w:pStyle w:val="ConsPlusNormal"/>
        <w:spacing w:before="220"/>
        <w:ind w:firstLine="540"/>
        <w:jc w:val="both"/>
      </w:pPr>
      <w:r>
        <w:t xml:space="preserve">19. Документы, представленные для открытия казначейского счета в соответствии с </w:t>
      </w:r>
      <w:hyperlink w:anchor="P156" w:history="1">
        <w:r>
          <w:rPr>
            <w:color w:val="0000FF"/>
          </w:rPr>
          <w:t>пунктом 15</w:t>
        </w:r>
      </w:hyperlink>
      <w:r>
        <w:t xml:space="preserve"> настоящего Порядка, не соответствующие положениям </w:t>
      </w:r>
      <w:hyperlink w:anchor="P156" w:history="1">
        <w:r>
          <w:rPr>
            <w:color w:val="0000FF"/>
          </w:rPr>
          <w:t>пунктов 15</w:t>
        </w:r>
      </w:hyperlink>
      <w:r>
        <w:t xml:space="preserve"> и (или) </w:t>
      </w:r>
      <w:hyperlink w:anchor="P161" w:history="1">
        <w:r>
          <w:rPr>
            <w:color w:val="0000FF"/>
          </w:rPr>
          <w:t>16</w:t>
        </w:r>
      </w:hyperlink>
      <w:r>
        <w:t xml:space="preserve"> настоящего Порядка, возвращаются территориальным органом Федерального казначейства не позднее рабочего дня, следующего за днем их представления, вместе с </w:t>
      </w:r>
      <w:hyperlink r:id="rId18" w:history="1">
        <w:r>
          <w:rPr>
            <w:color w:val="0000FF"/>
          </w:rPr>
          <w:t>Протоколом</w:t>
        </w:r>
      </w:hyperlink>
      <w:r>
        <w:t xml:space="preserve"> (код формы по КФД 0531805) (далее - Протокол), в котором указывается причина возврата.</w:t>
      </w:r>
    </w:p>
    <w:p w:rsidR="00492D2F" w:rsidRDefault="00492D2F">
      <w:pPr>
        <w:pStyle w:val="ConsPlusNormal"/>
        <w:spacing w:before="220"/>
        <w:ind w:firstLine="540"/>
        <w:jc w:val="both"/>
      </w:pPr>
      <w:r>
        <w:t>20. Территориальный орган Федерального казначейства не позднее рабочего дня, следующего за днем открытия казначейского счета, направляет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уведомление об открытии казначейского счета, содержащее сведения о номере казначейского счета и его реквизитах.</w:t>
      </w:r>
    </w:p>
    <w:p w:rsidR="00492D2F" w:rsidRDefault="00492D2F">
      <w:pPr>
        <w:pStyle w:val="ConsPlusNormal"/>
        <w:spacing w:before="220"/>
        <w:ind w:firstLine="540"/>
        <w:jc w:val="both"/>
      </w:pPr>
      <w:r>
        <w:t>21. При изменении номера казначейского счета территориальный орган Федерального казначейства направляет информацию об изменении номера казначейского счета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не позднее рабочего дня наступления указанного события и обеспечивает внесение соответствующих изменений в Книгу регистрации казначейских счетов.</w:t>
      </w:r>
    </w:p>
    <w:p w:rsidR="00492D2F" w:rsidRDefault="00492D2F">
      <w:pPr>
        <w:pStyle w:val="ConsPlusNormal"/>
        <w:spacing w:before="220"/>
        <w:ind w:firstLine="540"/>
        <w:jc w:val="both"/>
      </w:pPr>
      <w:r>
        <w:t>Копия информации об изменении номера казначейского счета хранится в деле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492D2F" w:rsidRDefault="00492D2F">
      <w:pPr>
        <w:pStyle w:val="ConsPlusNormal"/>
        <w:jc w:val="both"/>
      </w:pPr>
    </w:p>
    <w:p w:rsidR="00492D2F" w:rsidRDefault="00492D2F">
      <w:pPr>
        <w:pStyle w:val="ConsPlusTitle"/>
        <w:jc w:val="center"/>
        <w:outlineLvl w:val="1"/>
      </w:pPr>
      <w:r>
        <w:lastRenderedPageBreak/>
        <w:t>III. Закрытие казначейских счетов</w:t>
      </w:r>
    </w:p>
    <w:p w:rsidR="00492D2F" w:rsidRDefault="00492D2F">
      <w:pPr>
        <w:pStyle w:val="ConsPlusNormal"/>
        <w:jc w:val="both"/>
      </w:pPr>
    </w:p>
    <w:p w:rsidR="00492D2F" w:rsidRDefault="00492D2F">
      <w:pPr>
        <w:pStyle w:val="ConsPlusNormal"/>
        <w:ind w:firstLine="540"/>
        <w:jc w:val="both"/>
      </w:pPr>
      <w:r>
        <w:t>22. Закрытие казначейского счета осуществляется в следующих случаях:</w:t>
      </w:r>
    </w:p>
    <w:p w:rsidR="00492D2F" w:rsidRDefault="00492D2F">
      <w:pPr>
        <w:pStyle w:val="ConsPlusNormal"/>
        <w:spacing w:before="220"/>
        <w:ind w:firstLine="540"/>
        <w:jc w:val="both"/>
      </w:pPr>
      <w:r>
        <w:t>а) преобразование (упразднение)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(упразднение);</w:t>
      </w:r>
    </w:p>
    <w:p w:rsidR="00492D2F" w:rsidRDefault="00492D2F">
      <w:pPr>
        <w:pStyle w:val="ConsPlusNormal"/>
        <w:spacing w:before="220"/>
        <w:ind w:firstLine="540"/>
        <w:jc w:val="both"/>
      </w:pPr>
      <w:r>
        <w:t>б) иных случаях, предусмотренных законодательными и иными нормативными правовыми актами Российской Федерации.</w:t>
      </w:r>
    </w:p>
    <w:p w:rsidR="00492D2F" w:rsidRDefault="00492D2F">
      <w:pPr>
        <w:pStyle w:val="ConsPlusNormal"/>
        <w:spacing w:before="220"/>
        <w:ind w:firstLine="540"/>
        <w:jc w:val="both"/>
      </w:pPr>
      <w:r>
        <w:t>23. Казначейский счет закрывается после внесения изменений в Сводный реестр (за исключением иных случаев закрытия казначейского счета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предусмотренных законодательными и иными нормативными правовыми актами Российской Федерации).</w:t>
      </w:r>
    </w:p>
    <w:p w:rsidR="00492D2F" w:rsidRDefault="00492D2F">
      <w:pPr>
        <w:pStyle w:val="ConsPlusNormal"/>
        <w:spacing w:before="220"/>
        <w:ind w:firstLine="540"/>
        <w:jc w:val="both"/>
      </w:pPr>
      <w:r>
        <w:t>24. При преобразовании территориального органа Федерального казначейства в форме присоединения к нему (выделения из него) другого территориального органа Федерального казначейства без изменения кодов по ОКПО, ИНН и КПП, закрытие казначейских счетов, открытых данному территориальному органу Федерального казначейства не требуется.</w:t>
      </w:r>
    </w:p>
    <w:p w:rsidR="00492D2F" w:rsidRDefault="00492D2F">
      <w:pPr>
        <w:pStyle w:val="ConsPlusNormal"/>
        <w:spacing w:before="220"/>
        <w:ind w:firstLine="540"/>
        <w:jc w:val="both"/>
      </w:pPr>
      <w:r>
        <w:t xml:space="preserve">25. Для закрытия казначейского счета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представляет Заявление на закрытие казначейского счета, содержащее реквизиты согласно </w:t>
      </w:r>
      <w:hyperlink w:anchor="P406" w:history="1">
        <w:r>
          <w:rPr>
            <w:color w:val="0000FF"/>
          </w:rPr>
          <w:t>приложению N 4</w:t>
        </w:r>
      </w:hyperlink>
      <w:r>
        <w:t xml:space="preserve"> к настоящему Порядку.</w:t>
      </w:r>
    </w:p>
    <w:p w:rsidR="00492D2F" w:rsidRDefault="00492D2F">
      <w:pPr>
        <w:pStyle w:val="ConsPlusNormal"/>
        <w:spacing w:before="220"/>
        <w:ind w:firstLine="540"/>
        <w:jc w:val="both"/>
      </w:pPr>
      <w:bookmarkStart w:id="5" w:name="P200"/>
      <w:bookmarkEnd w:id="5"/>
      <w:r>
        <w:t>26. Территориальный орган Федерального казначейства не позднее рабочего дня, следующего за днем представления Заявления на закрытие казначейского счета, осуществляет проверку реквизитов, предусмотренных для заполнения, соответствие их данным Сводного реестра и в случае положительного результата проверки осуществляет внесение записи в Книгу регистрации казначейских счетов, после чего казначейский счет считается закрытым.</w:t>
      </w:r>
    </w:p>
    <w:p w:rsidR="00492D2F" w:rsidRDefault="00492D2F">
      <w:pPr>
        <w:pStyle w:val="ConsPlusNormal"/>
        <w:spacing w:before="220"/>
        <w:ind w:firstLine="540"/>
        <w:jc w:val="both"/>
      </w:pPr>
      <w:r>
        <w:t xml:space="preserve">27. Заявление на закрытие казначейского счета, не прошедшее проверку в соответствии с положениями </w:t>
      </w:r>
      <w:hyperlink w:anchor="P200" w:history="1">
        <w:r>
          <w:rPr>
            <w:color w:val="0000FF"/>
          </w:rPr>
          <w:t>пункта 26</w:t>
        </w:r>
      </w:hyperlink>
      <w:r>
        <w:t xml:space="preserve"> настоящего Порядка, возвращается территориальным органом Федерального казначейства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не позднее рабочего дня, следующего за днем после его представления вместе с </w:t>
      </w:r>
      <w:hyperlink r:id="rId19" w:history="1">
        <w:r>
          <w:rPr>
            <w:color w:val="0000FF"/>
          </w:rPr>
          <w:t>Протоколом</w:t>
        </w:r>
      </w:hyperlink>
      <w:r>
        <w:t>, в котором указывается причина возврата.</w:t>
      </w:r>
    </w:p>
    <w:p w:rsidR="00492D2F" w:rsidRDefault="00492D2F">
      <w:pPr>
        <w:pStyle w:val="ConsPlusNormal"/>
        <w:spacing w:before="220"/>
        <w:ind w:firstLine="540"/>
        <w:jc w:val="both"/>
      </w:pPr>
      <w:r>
        <w:t>28. Казначейский счет закрывается при отсутствии на нем денежных средств.</w:t>
      </w:r>
    </w:p>
    <w:p w:rsidR="00492D2F" w:rsidRDefault="00492D2F">
      <w:pPr>
        <w:pStyle w:val="ConsPlusNormal"/>
        <w:spacing w:before="220"/>
        <w:ind w:firstLine="540"/>
        <w:jc w:val="both"/>
      </w:pPr>
      <w:r>
        <w:t>29. В случае наличия остатка денежных средств на закрываемом казначейском счете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представляет распоряжение о совершении казначейского платежа для перечисления остатка денежных средств по назначению.</w:t>
      </w:r>
    </w:p>
    <w:p w:rsidR="00492D2F" w:rsidRDefault="00492D2F">
      <w:pPr>
        <w:pStyle w:val="ConsPlusNormal"/>
        <w:spacing w:before="220"/>
        <w:ind w:firstLine="540"/>
        <w:jc w:val="both"/>
      </w:pPr>
      <w:r>
        <w:t>В течение одного рабочего дня после перечисления денежных средств казначейский счет закрывается, вносится запись в Книгу регистрации казначейских счетов.</w:t>
      </w:r>
    </w:p>
    <w:p w:rsidR="00492D2F" w:rsidRDefault="00492D2F">
      <w:pPr>
        <w:pStyle w:val="ConsPlusNormal"/>
        <w:spacing w:before="220"/>
        <w:ind w:firstLine="540"/>
        <w:jc w:val="both"/>
      </w:pPr>
      <w:r>
        <w:t xml:space="preserve">30. Денежные средства, поступившие на казначейский счет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после его закрытия, перечисляются на основании распоряжения о совершении казначейского платежа, составленного территориальным органом Федерального казначейства, в соответствии с </w:t>
      </w:r>
      <w:r>
        <w:lastRenderedPageBreak/>
        <w:t>реквизитами, указанными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в Заявлении на закрытие казначейского счета.</w:t>
      </w:r>
    </w:p>
    <w:p w:rsidR="00492D2F" w:rsidRDefault="00492D2F">
      <w:pPr>
        <w:pStyle w:val="ConsPlusNormal"/>
        <w:spacing w:before="220"/>
        <w:ind w:firstLine="540"/>
        <w:jc w:val="both"/>
      </w:pPr>
      <w:r>
        <w:t>31. Заявление на закрытие казначейского счета хранится в деле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492D2F" w:rsidRDefault="00492D2F">
      <w:pPr>
        <w:pStyle w:val="ConsPlusNormal"/>
        <w:jc w:val="both"/>
      </w:pPr>
    </w:p>
    <w:p w:rsidR="00492D2F" w:rsidRDefault="00492D2F">
      <w:pPr>
        <w:pStyle w:val="ConsPlusTitle"/>
        <w:jc w:val="center"/>
        <w:outlineLvl w:val="1"/>
      </w:pPr>
      <w:r>
        <w:t>IV. Документооборот при ведении казначейских счетов</w:t>
      </w:r>
    </w:p>
    <w:p w:rsidR="00492D2F" w:rsidRDefault="00492D2F">
      <w:pPr>
        <w:pStyle w:val="ConsPlusNormal"/>
        <w:jc w:val="both"/>
      </w:pPr>
    </w:p>
    <w:p w:rsidR="00492D2F" w:rsidRDefault="00492D2F">
      <w:pPr>
        <w:pStyle w:val="ConsPlusNormal"/>
        <w:ind w:firstLine="540"/>
        <w:jc w:val="both"/>
      </w:pPr>
      <w:r>
        <w:t>32. Территориальный орган Федерального казначейства не позднее рабочего дня, следующего за днем совершения операции по казначейскому счету, направляет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выписку из казначейского счета, содержащую следующие обязательные реквизиты:</w:t>
      </w:r>
    </w:p>
    <w:p w:rsidR="00492D2F" w:rsidRDefault="00492D2F">
      <w:pPr>
        <w:pStyle w:val="ConsPlusNormal"/>
        <w:spacing w:before="220"/>
        <w:ind w:firstLine="540"/>
        <w:jc w:val="both"/>
      </w:pPr>
      <w:r>
        <w:t>дата формирования выписки;</w:t>
      </w:r>
    </w:p>
    <w:p w:rsidR="00492D2F" w:rsidRDefault="00492D2F">
      <w:pPr>
        <w:pStyle w:val="ConsPlusNormal"/>
        <w:spacing w:before="220"/>
        <w:ind w:firstLine="540"/>
        <w:jc w:val="both"/>
      </w:pPr>
      <w:r>
        <w:t>остаток на начало дня формирования выписки;</w:t>
      </w:r>
    </w:p>
    <w:p w:rsidR="00492D2F" w:rsidRDefault="00492D2F">
      <w:pPr>
        <w:pStyle w:val="ConsPlusNormal"/>
        <w:spacing w:before="220"/>
        <w:ind w:firstLine="540"/>
        <w:jc w:val="both"/>
      </w:pPr>
      <w:r>
        <w:t>остаток на конец дня формирования выписки;</w:t>
      </w:r>
    </w:p>
    <w:p w:rsidR="00492D2F" w:rsidRDefault="00492D2F">
      <w:pPr>
        <w:pStyle w:val="ConsPlusNormal"/>
        <w:spacing w:before="220"/>
        <w:ind w:firstLine="540"/>
        <w:jc w:val="both"/>
      </w:pPr>
      <w:r>
        <w:t>номер и дата документа, на основании которого отражена операция на казначейском счете;</w:t>
      </w:r>
    </w:p>
    <w:p w:rsidR="00492D2F" w:rsidRDefault="00492D2F">
      <w:pPr>
        <w:pStyle w:val="ConsPlusNormal"/>
        <w:spacing w:before="220"/>
        <w:ind w:firstLine="540"/>
        <w:jc w:val="both"/>
      </w:pPr>
      <w:r>
        <w:t>сумма поступлений;</w:t>
      </w:r>
    </w:p>
    <w:p w:rsidR="00492D2F" w:rsidRDefault="00492D2F">
      <w:pPr>
        <w:pStyle w:val="ConsPlusNormal"/>
        <w:spacing w:before="220"/>
        <w:ind w:firstLine="540"/>
        <w:jc w:val="both"/>
      </w:pPr>
      <w:r>
        <w:t>сумма перечислений;</w:t>
      </w:r>
    </w:p>
    <w:p w:rsidR="00492D2F" w:rsidRDefault="00492D2F">
      <w:pPr>
        <w:pStyle w:val="ConsPlusNormal"/>
        <w:spacing w:before="220"/>
        <w:ind w:firstLine="540"/>
        <w:jc w:val="both"/>
      </w:pPr>
      <w:r>
        <w:t>итоговая сумма поступлений;</w:t>
      </w:r>
    </w:p>
    <w:p w:rsidR="00492D2F" w:rsidRDefault="00492D2F">
      <w:pPr>
        <w:pStyle w:val="ConsPlusNormal"/>
        <w:spacing w:before="220"/>
        <w:ind w:firstLine="540"/>
        <w:jc w:val="both"/>
      </w:pPr>
      <w:r>
        <w:t>итоговая сумма перечислений;</w:t>
      </w:r>
    </w:p>
    <w:p w:rsidR="00492D2F" w:rsidRDefault="00492D2F">
      <w:pPr>
        <w:pStyle w:val="ConsPlusNormal"/>
        <w:spacing w:before="220"/>
        <w:ind w:firstLine="540"/>
        <w:jc w:val="both"/>
      </w:pPr>
      <w:r>
        <w:t>счет отправителя;</w:t>
      </w:r>
    </w:p>
    <w:p w:rsidR="00492D2F" w:rsidRDefault="00492D2F">
      <w:pPr>
        <w:pStyle w:val="ConsPlusNormal"/>
        <w:spacing w:before="220"/>
        <w:ind w:firstLine="540"/>
        <w:jc w:val="both"/>
      </w:pPr>
      <w:r>
        <w:t>счет получателя;</w:t>
      </w:r>
    </w:p>
    <w:p w:rsidR="00492D2F" w:rsidRDefault="00492D2F">
      <w:pPr>
        <w:pStyle w:val="ConsPlusNormal"/>
        <w:spacing w:before="220"/>
        <w:ind w:firstLine="540"/>
        <w:jc w:val="both"/>
      </w:pPr>
      <w:r>
        <w:t>назначение платежа.</w:t>
      </w:r>
    </w:p>
    <w:p w:rsidR="00492D2F" w:rsidRDefault="00492D2F">
      <w:pPr>
        <w:pStyle w:val="ConsPlusNormal"/>
        <w:spacing w:before="220"/>
        <w:ind w:firstLine="540"/>
        <w:jc w:val="both"/>
      </w:pPr>
      <w:r>
        <w:t>33. В случае обнаружения в выписке из казначейского счета сумм, ошибочно отраженных на казначейском счете,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в срок не позднее третьего рабочего дня, следующего за днем получения данной выписки, сообщает территориальному органу Федерального казначейства о суммах, ошибочно отраженных на казначейском счете. При не поступлении от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информации в указанные сроки совершенные операции по казначейскому счету и остатки, отраженные на казначейских счетах, считаются подтвержденными.</w:t>
      </w:r>
    </w:p>
    <w:p w:rsidR="00492D2F" w:rsidRDefault="00492D2F">
      <w:pPr>
        <w:pStyle w:val="ConsPlusNormal"/>
        <w:spacing w:before="220"/>
        <w:ind w:firstLine="540"/>
        <w:jc w:val="both"/>
      </w:pPr>
      <w:r>
        <w:t>34. Хранение выписок из казначейских счетов осуществляется территориальным органом Федерального казначейства в соответствии с правилами делопроизводства.</w:t>
      </w: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right"/>
        <w:outlineLvl w:val="1"/>
      </w:pPr>
      <w:r>
        <w:lastRenderedPageBreak/>
        <w:t>Приложение N 1</w:t>
      </w:r>
    </w:p>
    <w:p w:rsidR="00492D2F" w:rsidRDefault="00492D2F">
      <w:pPr>
        <w:pStyle w:val="ConsPlusNormal"/>
        <w:jc w:val="right"/>
      </w:pPr>
      <w:r>
        <w:t>к Порядку открытия казначейских счетов</w:t>
      </w:r>
    </w:p>
    <w:p w:rsidR="00492D2F" w:rsidRDefault="00492D2F">
      <w:pPr>
        <w:pStyle w:val="ConsPlusNormal"/>
        <w:jc w:val="both"/>
      </w:pPr>
    </w:p>
    <w:p w:rsidR="00492D2F" w:rsidRDefault="00492D2F">
      <w:pPr>
        <w:pStyle w:val="ConsPlusTitle"/>
        <w:jc w:val="center"/>
      </w:pPr>
      <w:bookmarkStart w:id="6" w:name="P232"/>
      <w:bookmarkEnd w:id="6"/>
      <w:r>
        <w:t>РЕКВИЗИТЫ ЗАЯВЛЕНИЯ НА ОТКРЫТИЕ КАЗНАЧЕЙСКОГО СЧЕТА</w:t>
      </w:r>
    </w:p>
    <w:p w:rsidR="00492D2F" w:rsidRDefault="00492D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25"/>
        <w:gridCol w:w="5928"/>
      </w:tblGrid>
      <w:tr w:rsidR="00492D2F">
        <w:tc>
          <w:tcPr>
            <w:tcW w:w="3125" w:type="dxa"/>
          </w:tcPr>
          <w:p w:rsidR="00492D2F" w:rsidRDefault="00492D2F">
            <w:pPr>
              <w:pStyle w:val="ConsPlusNormal"/>
              <w:jc w:val="center"/>
            </w:pPr>
            <w:r>
              <w:t>Наименование реквизита</w:t>
            </w:r>
          </w:p>
        </w:tc>
        <w:tc>
          <w:tcPr>
            <w:tcW w:w="5928" w:type="dxa"/>
          </w:tcPr>
          <w:p w:rsidR="00492D2F" w:rsidRDefault="00492D2F">
            <w:pPr>
              <w:pStyle w:val="ConsPlusNormal"/>
              <w:jc w:val="center"/>
            </w:pPr>
            <w:r>
              <w:t>Правила формирования, заполнения реквизита</w:t>
            </w:r>
          </w:p>
        </w:tc>
      </w:tr>
      <w:tr w:rsidR="00492D2F">
        <w:tc>
          <w:tcPr>
            <w:tcW w:w="3125" w:type="dxa"/>
          </w:tcPr>
          <w:p w:rsidR="00492D2F" w:rsidRDefault="00492D2F">
            <w:pPr>
              <w:pStyle w:val="ConsPlusNormal"/>
            </w:pPr>
            <w:r>
              <w:t>1. Наименование клиента</w:t>
            </w:r>
          </w:p>
        </w:tc>
        <w:tc>
          <w:tcPr>
            <w:tcW w:w="5928" w:type="dxa"/>
          </w:tcPr>
          <w:p w:rsidR="00492D2F" w:rsidRDefault="00492D2F">
            <w:pPr>
              <w:pStyle w:val="ConsPlusNormal"/>
            </w:pPr>
            <w:r>
              <w:t>Указывается полное наименование (с учетом символа "N", кавычек, скобок, знаков препинания)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наименованием, указанным в его реестровой записи Сводного реестра</w:t>
            </w:r>
          </w:p>
        </w:tc>
      </w:tr>
      <w:tr w:rsidR="00492D2F">
        <w:tc>
          <w:tcPr>
            <w:tcW w:w="3125" w:type="dxa"/>
          </w:tcPr>
          <w:p w:rsidR="00492D2F" w:rsidRDefault="00492D2F">
            <w:pPr>
              <w:pStyle w:val="ConsPlusNormal"/>
            </w:pPr>
            <w:r>
              <w:t>2. ИНН</w:t>
            </w:r>
          </w:p>
        </w:tc>
        <w:tc>
          <w:tcPr>
            <w:tcW w:w="5928" w:type="dxa"/>
          </w:tcPr>
          <w:p w:rsidR="00492D2F" w:rsidRDefault="00492D2F">
            <w:pPr>
              <w:pStyle w:val="ConsPlusNormal"/>
            </w:pPr>
            <w:r>
              <w:t>Указывается идентификационный номер налогоплательщика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125" w:type="dxa"/>
          </w:tcPr>
          <w:p w:rsidR="00492D2F" w:rsidRDefault="00492D2F">
            <w:pPr>
              <w:pStyle w:val="ConsPlusNormal"/>
            </w:pPr>
            <w:r>
              <w:t>3. КПП</w:t>
            </w:r>
          </w:p>
        </w:tc>
        <w:tc>
          <w:tcPr>
            <w:tcW w:w="5928" w:type="dxa"/>
          </w:tcPr>
          <w:p w:rsidR="00492D2F" w:rsidRDefault="00492D2F">
            <w:pPr>
              <w:pStyle w:val="ConsPlusNormal"/>
            </w:pPr>
            <w:r>
              <w:t>Указывается код причины постановки на учет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125" w:type="dxa"/>
          </w:tcPr>
          <w:p w:rsidR="00492D2F" w:rsidRDefault="00492D2F">
            <w:pPr>
              <w:pStyle w:val="ConsPlusNormal"/>
            </w:pPr>
            <w:r>
              <w:t>4. Код по Сводному реестру</w:t>
            </w:r>
          </w:p>
        </w:tc>
        <w:tc>
          <w:tcPr>
            <w:tcW w:w="5928" w:type="dxa"/>
          </w:tcPr>
          <w:p w:rsidR="00492D2F" w:rsidRDefault="00492D2F">
            <w:pPr>
              <w:pStyle w:val="ConsPlusNormal"/>
            </w:pPr>
            <w:r>
              <w:t>Указывается код по Сводному реестру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125" w:type="dxa"/>
          </w:tcPr>
          <w:p w:rsidR="00492D2F" w:rsidRDefault="00492D2F">
            <w:pPr>
              <w:pStyle w:val="ConsPlusNormal"/>
            </w:pPr>
            <w:r>
              <w:t>5. Код по ОКПО</w:t>
            </w:r>
          </w:p>
        </w:tc>
        <w:tc>
          <w:tcPr>
            <w:tcW w:w="5928" w:type="dxa"/>
          </w:tcPr>
          <w:p w:rsidR="00492D2F" w:rsidRDefault="00492D2F">
            <w:pPr>
              <w:pStyle w:val="ConsPlusNormal"/>
              <w:jc w:val="both"/>
            </w:pPr>
            <w:r>
              <w:t>Указывается код по Общероссийскому классификатору предприятий и организаций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125" w:type="dxa"/>
          </w:tcPr>
          <w:p w:rsidR="00492D2F" w:rsidRDefault="00492D2F">
            <w:pPr>
              <w:pStyle w:val="ConsPlusNormal"/>
            </w:pPr>
            <w:r>
              <w:t xml:space="preserve">6. Код </w:t>
            </w:r>
            <w:hyperlink r:id="rId20" w:history="1">
              <w:r>
                <w:rPr>
                  <w:color w:val="0000FF"/>
                </w:rPr>
                <w:t>ОКТМО</w:t>
              </w:r>
            </w:hyperlink>
          </w:p>
        </w:tc>
        <w:tc>
          <w:tcPr>
            <w:tcW w:w="5928" w:type="dxa"/>
          </w:tcPr>
          <w:p w:rsidR="00492D2F" w:rsidRDefault="00492D2F">
            <w:pPr>
              <w:pStyle w:val="ConsPlusNormal"/>
              <w:jc w:val="both"/>
            </w:pPr>
            <w:r>
              <w:t xml:space="preserve">Указывается код по Общероссийскому </w:t>
            </w:r>
            <w:hyperlink r:id="rId21" w:history="1">
              <w:r>
                <w:rPr>
                  <w:color w:val="0000FF"/>
                </w:rPr>
                <w:t>классификатору</w:t>
              </w:r>
            </w:hyperlink>
            <w: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125" w:type="dxa"/>
          </w:tcPr>
          <w:p w:rsidR="00492D2F" w:rsidRDefault="00492D2F">
            <w:pPr>
              <w:pStyle w:val="ConsPlusNormal"/>
            </w:pPr>
            <w:r>
              <w:t>7. Наименование открываемого казначейского счета</w:t>
            </w:r>
          </w:p>
        </w:tc>
        <w:tc>
          <w:tcPr>
            <w:tcW w:w="5928" w:type="dxa"/>
            <w:vAlign w:val="bottom"/>
          </w:tcPr>
          <w:p w:rsidR="00492D2F" w:rsidRDefault="00492D2F">
            <w:pPr>
              <w:pStyle w:val="ConsPlusNormal"/>
            </w:pPr>
            <w:r>
              <w:t xml:space="preserve">Указывается наименование соответствующего вида казначейского счета (видов казначейских счетов) в соответствии с видами казначейских счетов, предусмотренными </w:t>
            </w:r>
            <w:hyperlink w:anchor="P33" w:history="1">
              <w:r>
                <w:rPr>
                  <w:color w:val="0000FF"/>
                </w:rPr>
                <w:t>пунктом 2</w:t>
              </w:r>
            </w:hyperlink>
            <w:r>
              <w:t xml:space="preserve"> настоящего Порядка</w:t>
            </w:r>
          </w:p>
        </w:tc>
      </w:tr>
      <w:tr w:rsidR="00492D2F">
        <w:tc>
          <w:tcPr>
            <w:tcW w:w="3125" w:type="dxa"/>
          </w:tcPr>
          <w:p w:rsidR="00492D2F" w:rsidRDefault="00492D2F">
            <w:pPr>
              <w:pStyle w:val="ConsPlusNormal"/>
            </w:pPr>
            <w:r>
              <w:t>8. Код валюты</w:t>
            </w:r>
          </w:p>
        </w:tc>
        <w:tc>
          <w:tcPr>
            <w:tcW w:w="5928" w:type="dxa"/>
            <w:vAlign w:val="bottom"/>
          </w:tcPr>
          <w:p w:rsidR="00492D2F" w:rsidRDefault="00492D2F">
            <w:pPr>
              <w:pStyle w:val="ConsPlusNormal"/>
            </w:pPr>
            <w:r>
              <w:t xml:space="preserve">Указывается код валюты по Общероссийскому </w:t>
            </w:r>
            <w:hyperlink r:id="rId22" w:history="1">
              <w:r>
                <w:rPr>
                  <w:color w:val="0000FF"/>
                </w:rPr>
                <w:t>классификатору</w:t>
              </w:r>
            </w:hyperlink>
            <w:r>
              <w:t xml:space="preserve"> валют</w:t>
            </w:r>
          </w:p>
        </w:tc>
      </w:tr>
      <w:tr w:rsidR="00492D2F">
        <w:tc>
          <w:tcPr>
            <w:tcW w:w="3125" w:type="dxa"/>
            <w:vAlign w:val="center"/>
          </w:tcPr>
          <w:p w:rsidR="00492D2F" w:rsidRDefault="00492D2F">
            <w:pPr>
              <w:pStyle w:val="ConsPlusNormal"/>
            </w:pPr>
            <w:r>
              <w:lastRenderedPageBreak/>
              <w:t>9. Руководитель клиента (уполномоченное лицо)</w:t>
            </w:r>
          </w:p>
        </w:tc>
        <w:tc>
          <w:tcPr>
            <w:tcW w:w="5928" w:type="dxa"/>
            <w:vAlign w:val="bottom"/>
          </w:tcPr>
          <w:p w:rsidR="00492D2F" w:rsidRDefault="00492D2F">
            <w:pPr>
              <w:pStyle w:val="ConsPlusNormal"/>
            </w:pPr>
            <w:r>
              <w:t>Указываются фамилия, имя, отчество (полностью) руководителя (уполномоченного лица)</w:t>
            </w:r>
          </w:p>
        </w:tc>
      </w:tr>
      <w:tr w:rsidR="00492D2F">
        <w:tc>
          <w:tcPr>
            <w:tcW w:w="3125" w:type="dxa"/>
            <w:vAlign w:val="bottom"/>
          </w:tcPr>
          <w:p w:rsidR="00492D2F" w:rsidRDefault="00492D2F">
            <w:pPr>
              <w:pStyle w:val="ConsPlusNormal"/>
            </w:pPr>
            <w:r>
              <w:t>10. Главный бухгалтер клиента (уполномоченное лицо)</w:t>
            </w:r>
          </w:p>
        </w:tc>
        <w:tc>
          <w:tcPr>
            <w:tcW w:w="5928" w:type="dxa"/>
          </w:tcPr>
          <w:p w:rsidR="00492D2F" w:rsidRDefault="00492D2F">
            <w:pPr>
              <w:pStyle w:val="ConsPlusNormal"/>
            </w:pPr>
            <w:r>
              <w:t>Указываются фамилия, имя, отчество (полностью) главного бухгалтера (уполномоченного лица)</w:t>
            </w:r>
          </w:p>
        </w:tc>
      </w:tr>
    </w:tbl>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right"/>
        <w:outlineLvl w:val="1"/>
      </w:pPr>
      <w:r>
        <w:t>Приложение N 2</w:t>
      </w:r>
    </w:p>
    <w:p w:rsidR="00492D2F" w:rsidRDefault="00492D2F">
      <w:pPr>
        <w:pStyle w:val="ConsPlusNormal"/>
        <w:jc w:val="right"/>
      </w:pPr>
      <w:r>
        <w:t>к Порядку открытия казначейских счетов</w:t>
      </w:r>
    </w:p>
    <w:p w:rsidR="00492D2F" w:rsidRDefault="00492D2F">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66"/>
        <w:gridCol w:w="1245"/>
        <w:gridCol w:w="1701"/>
      </w:tblGrid>
      <w:tr w:rsidR="00492D2F">
        <w:tc>
          <w:tcPr>
            <w:tcW w:w="6066" w:type="dxa"/>
            <w:tcBorders>
              <w:top w:val="nil"/>
              <w:left w:val="nil"/>
              <w:bottom w:val="nil"/>
            </w:tcBorders>
          </w:tcPr>
          <w:p w:rsidR="00492D2F" w:rsidRDefault="00492D2F">
            <w:pPr>
              <w:pStyle w:val="ConsPlusNormal"/>
              <w:jc w:val="right"/>
            </w:pPr>
            <w:bookmarkStart w:id="7" w:name="P264"/>
            <w:bookmarkEnd w:id="7"/>
            <w:r>
              <w:t>КАРТОЧКА ОБРАЗЦОВ ПОДПИСЕЙ N</w:t>
            </w:r>
          </w:p>
        </w:tc>
        <w:tc>
          <w:tcPr>
            <w:tcW w:w="1245" w:type="dxa"/>
            <w:tcBorders>
              <w:top w:val="single" w:sz="4" w:space="0" w:color="auto"/>
              <w:bottom w:val="single" w:sz="4" w:space="0" w:color="auto"/>
            </w:tcBorders>
          </w:tcPr>
          <w:p w:rsidR="00492D2F" w:rsidRDefault="00492D2F">
            <w:pPr>
              <w:pStyle w:val="ConsPlusNormal"/>
            </w:pPr>
          </w:p>
        </w:tc>
        <w:tc>
          <w:tcPr>
            <w:tcW w:w="1701" w:type="dxa"/>
            <w:tcBorders>
              <w:top w:val="nil"/>
              <w:bottom w:val="nil"/>
              <w:right w:val="nil"/>
            </w:tcBorders>
          </w:tcPr>
          <w:p w:rsidR="00492D2F" w:rsidRDefault="00492D2F">
            <w:pPr>
              <w:pStyle w:val="ConsPlusNormal"/>
            </w:pPr>
          </w:p>
        </w:tc>
      </w:tr>
      <w:tr w:rsidR="00492D2F">
        <w:tc>
          <w:tcPr>
            <w:tcW w:w="9012" w:type="dxa"/>
            <w:gridSpan w:val="3"/>
            <w:tcBorders>
              <w:top w:val="nil"/>
              <w:left w:val="nil"/>
              <w:bottom w:val="nil"/>
              <w:right w:val="nil"/>
            </w:tcBorders>
          </w:tcPr>
          <w:p w:rsidR="00492D2F" w:rsidRDefault="00492D2F">
            <w:pPr>
              <w:pStyle w:val="ConsPlusNormal"/>
              <w:jc w:val="center"/>
            </w:pPr>
            <w:r>
              <w:t>К КАЗНАЧЕЙСКИМ СЧЕТАМ N __________________________</w:t>
            </w:r>
          </w:p>
          <w:p w:rsidR="00492D2F" w:rsidRDefault="00492D2F">
            <w:pPr>
              <w:pStyle w:val="ConsPlusNormal"/>
              <w:jc w:val="center"/>
            </w:pPr>
            <w:r>
              <w:t>______________________________________________________</w:t>
            </w:r>
          </w:p>
        </w:tc>
      </w:tr>
    </w:tbl>
    <w:p w:rsidR="00492D2F" w:rsidRDefault="00492D2F">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65"/>
        <w:gridCol w:w="3015"/>
        <w:gridCol w:w="1531"/>
        <w:gridCol w:w="1304"/>
      </w:tblGrid>
      <w:tr w:rsidR="00492D2F">
        <w:tc>
          <w:tcPr>
            <w:tcW w:w="7711" w:type="dxa"/>
            <w:gridSpan w:val="3"/>
            <w:tcBorders>
              <w:top w:val="nil"/>
              <w:left w:val="nil"/>
              <w:bottom w:val="nil"/>
            </w:tcBorders>
            <w:vAlign w:val="bottom"/>
          </w:tcPr>
          <w:p w:rsidR="00492D2F" w:rsidRDefault="00492D2F">
            <w:pPr>
              <w:pStyle w:val="ConsPlusNormal"/>
            </w:pPr>
          </w:p>
        </w:tc>
        <w:tc>
          <w:tcPr>
            <w:tcW w:w="1304" w:type="dxa"/>
            <w:tcBorders>
              <w:top w:val="single" w:sz="4" w:space="0" w:color="auto"/>
              <w:bottom w:val="single" w:sz="4" w:space="0" w:color="auto"/>
            </w:tcBorders>
            <w:vAlign w:val="bottom"/>
          </w:tcPr>
          <w:p w:rsidR="00492D2F" w:rsidRDefault="00492D2F">
            <w:pPr>
              <w:pStyle w:val="ConsPlusNormal"/>
              <w:jc w:val="center"/>
            </w:pPr>
            <w:r>
              <w:t>Коды</w:t>
            </w:r>
          </w:p>
        </w:tc>
      </w:tr>
      <w:tr w:rsidR="00492D2F">
        <w:tblPrEx>
          <w:tblBorders>
            <w:insideV w:val="none" w:sz="0" w:space="0" w:color="auto"/>
          </w:tblBorders>
        </w:tblPrEx>
        <w:tc>
          <w:tcPr>
            <w:tcW w:w="6180" w:type="dxa"/>
            <w:gridSpan w:val="2"/>
            <w:tcBorders>
              <w:top w:val="nil"/>
              <w:left w:val="nil"/>
              <w:bottom w:val="nil"/>
              <w:right w:val="nil"/>
            </w:tcBorders>
          </w:tcPr>
          <w:p w:rsidR="00492D2F" w:rsidRDefault="00492D2F">
            <w:pPr>
              <w:pStyle w:val="ConsPlusNormal"/>
            </w:pPr>
          </w:p>
        </w:tc>
        <w:tc>
          <w:tcPr>
            <w:tcW w:w="1531" w:type="dxa"/>
            <w:tcBorders>
              <w:top w:val="nil"/>
              <w:left w:val="nil"/>
              <w:bottom w:val="nil"/>
              <w:right w:val="single" w:sz="4" w:space="0" w:color="auto"/>
            </w:tcBorders>
            <w:vAlign w:val="bottom"/>
          </w:tcPr>
          <w:p w:rsidR="00492D2F" w:rsidRDefault="00492D2F">
            <w:pPr>
              <w:pStyle w:val="ConsPlusNormal"/>
              <w:jc w:val="right"/>
            </w:pPr>
            <w:r>
              <w:t>Форма по КФД</w:t>
            </w:r>
          </w:p>
        </w:tc>
        <w:tc>
          <w:tcPr>
            <w:tcW w:w="1304" w:type="dxa"/>
            <w:tcBorders>
              <w:top w:val="single" w:sz="4" w:space="0" w:color="auto"/>
              <w:left w:val="single" w:sz="4" w:space="0" w:color="auto"/>
              <w:bottom w:val="single" w:sz="4" w:space="0" w:color="auto"/>
              <w:right w:val="single" w:sz="4" w:space="0" w:color="auto"/>
            </w:tcBorders>
          </w:tcPr>
          <w:p w:rsidR="00492D2F" w:rsidRDefault="00492D2F">
            <w:pPr>
              <w:pStyle w:val="ConsPlusNormal"/>
            </w:pPr>
          </w:p>
        </w:tc>
      </w:tr>
      <w:tr w:rsidR="00492D2F">
        <w:tblPrEx>
          <w:tblBorders>
            <w:insideV w:val="none" w:sz="0" w:space="0" w:color="auto"/>
          </w:tblBorders>
        </w:tblPrEx>
        <w:tc>
          <w:tcPr>
            <w:tcW w:w="6180" w:type="dxa"/>
            <w:gridSpan w:val="2"/>
            <w:tcBorders>
              <w:top w:val="nil"/>
              <w:left w:val="nil"/>
              <w:bottom w:val="nil"/>
              <w:right w:val="nil"/>
            </w:tcBorders>
            <w:vAlign w:val="bottom"/>
          </w:tcPr>
          <w:p w:rsidR="00492D2F" w:rsidRDefault="00492D2F">
            <w:pPr>
              <w:pStyle w:val="ConsPlusNormal"/>
              <w:jc w:val="center"/>
            </w:pPr>
            <w:bookmarkStart w:id="8" w:name="P275"/>
            <w:bookmarkEnd w:id="8"/>
            <w:r>
              <w:t>от "__" ___________ 20__ г.</w:t>
            </w:r>
          </w:p>
        </w:tc>
        <w:tc>
          <w:tcPr>
            <w:tcW w:w="1531" w:type="dxa"/>
            <w:tcBorders>
              <w:top w:val="nil"/>
              <w:left w:val="nil"/>
              <w:bottom w:val="nil"/>
              <w:right w:val="single" w:sz="4" w:space="0" w:color="auto"/>
            </w:tcBorders>
            <w:vAlign w:val="bottom"/>
          </w:tcPr>
          <w:p w:rsidR="00492D2F" w:rsidRDefault="00492D2F">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tcPr>
          <w:p w:rsidR="00492D2F" w:rsidRDefault="00492D2F">
            <w:pPr>
              <w:pStyle w:val="ConsPlusNormal"/>
            </w:pPr>
          </w:p>
        </w:tc>
      </w:tr>
      <w:tr w:rsidR="00492D2F">
        <w:tblPrEx>
          <w:tblBorders>
            <w:insideV w:val="none" w:sz="0" w:space="0" w:color="auto"/>
          </w:tblBorders>
        </w:tblPrEx>
        <w:tc>
          <w:tcPr>
            <w:tcW w:w="3165" w:type="dxa"/>
            <w:tcBorders>
              <w:top w:val="nil"/>
              <w:left w:val="nil"/>
              <w:bottom w:val="nil"/>
              <w:right w:val="nil"/>
            </w:tcBorders>
            <w:vAlign w:val="bottom"/>
          </w:tcPr>
          <w:p w:rsidR="00492D2F" w:rsidRDefault="00492D2F">
            <w:pPr>
              <w:pStyle w:val="ConsPlusNormal"/>
            </w:pPr>
            <w:bookmarkStart w:id="9" w:name="P278"/>
            <w:bookmarkEnd w:id="9"/>
            <w:r>
              <w:t>Наименование клиента</w:t>
            </w:r>
          </w:p>
        </w:tc>
        <w:tc>
          <w:tcPr>
            <w:tcW w:w="3015" w:type="dxa"/>
            <w:tcBorders>
              <w:top w:val="nil"/>
              <w:left w:val="nil"/>
              <w:bottom w:val="single" w:sz="4" w:space="0" w:color="auto"/>
              <w:right w:val="nil"/>
            </w:tcBorders>
          </w:tcPr>
          <w:p w:rsidR="00492D2F" w:rsidRDefault="00492D2F">
            <w:pPr>
              <w:pStyle w:val="ConsPlusNormal"/>
            </w:pPr>
          </w:p>
        </w:tc>
        <w:tc>
          <w:tcPr>
            <w:tcW w:w="1531" w:type="dxa"/>
            <w:tcBorders>
              <w:top w:val="nil"/>
              <w:left w:val="nil"/>
              <w:bottom w:val="nil"/>
              <w:right w:val="single" w:sz="4" w:space="0" w:color="auto"/>
            </w:tcBorders>
            <w:vAlign w:val="bottom"/>
          </w:tcPr>
          <w:p w:rsidR="00492D2F" w:rsidRDefault="00492D2F">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tcPr>
          <w:p w:rsidR="00492D2F" w:rsidRDefault="00492D2F">
            <w:pPr>
              <w:pStyle w:val="ConsPlusNormal"/>
            </w:pPr>
          </w:p>
        </w:tc>
      </w:tr>
      <w:tr w:rsidR="00492D2F">
        <w:tblPrEx>
          <w:tblBorders>
            <w:insideV w:val="none" w:sz="0" w:space="0" w:color="auto"/>
          </w:tblBorders>
        </w:tblPrEx>
        <w:tc>
          <w:tcPr>
            <w:tcW w:w="6180" w:type="dxa"/>
            <w:gridSpan w:val="2"/>
            <w:tcBorders>
              <w:top w:val="nil"/>
              <w:left w:val="nil"/>
              <w:bottom w:val="nil"/>
              <w:right w:val="nil"/>
            </w:tcBorders>
          </w:tcPr>
          <w:p w:rsidR="00492D2F" w:rsidRDefault="00492D2F">
            <w:pPr>
              <w:pStyle w:val="ConsPlusNormal"/>
            </w:pPr>
          </w:p>
        </w:tc>
        <w:tc>
          <w:tcPr>
            <w:tcW w:w="1531" w:type="dxa"/>
            <w:tcBorders>
              <w:top w:val="nil"/>
              <w:left w:val="nil"/>
              <w:bottom w:val="nil"/>
              <w:right w:val="single" w:sz="4" w:space="0" w:color="auto"/>
            </w:tcBorders>
          </w:tcPr>
          <w:p w:rsidR="00492D2F" w:rsidRDefault="00492D2F">
            <w:pPr>
              <w:pStyle w:val="ConsPlusNormal"/>
              <w:jc w:val="right"/>
            </w:pPr>
            <w:r>
              <w:t>по Сводному реестру</w:t>
            </w:r>
          </w:p>
        </w:tc>
        <w:tc>
          <w:tcPr>
            <w:tcW w:w="1304" w:type="dxa"/>
            <w:tcBorders>
              <w:top w:val="single" w:sz="4" w:space="0" w:color="auto"/>
              <w:left w:val="single" w:sz="4" w:space="0" w:color="auto"/>
              <w:bottom w:val="single" w:sz="4" w:space="0" w:color="auto"/>
              <w:right w:val="single" w:sz="4" w:space="0" w:color="auto"/>
            </w:tcBorders>
          </w:tcPr>
          <w:p w:rsidR="00492D2F" w:rsidRDefault="00492D2F">
            <w:pPr>
              <w:pStyle w:val="ConsPlusNormal"/>
            </w:pPr>
          </w:p>
        </w:tc>
      </w:tr>
      <w:tr w:rsidR="00492D2F">
        <w:tblPrEx>
          <w:tblBorders>
            <w:insideV w:val="none" w:sz="0" w:space="0" w:color="auto"/>
          </w:tblBorders>
        </w:tblPrEx>
        <w:tc>
          <w:tcPr>
            <w:tcW w:w="6180" w:type="dxa"/>
            <w:gridSpan w:val="2"/>
            <w:tcBorders>
              <w:top w:val="nil"/>
              <w:left w:val="nil"/>
              <w:bottom w:val="nil"/>
              <w:right w:val="nil"/>
            </w:tcBorders>
          </w:tcPr>
          <w:p w:rsidR="00492D2F" w:rsidRDefault="00492D2F">
            <w:pPr>
              <w:pStyle w:val="ConsPlusNormal"/>
            </w:pPr>
          </w:p>
        </w:tc>
        <w:tc>
          <w:tcPr>
            <w:tcW w:w="1531" w:type="dxa"/>
            <w:tcBorders>
              <w:top w:val="nil"/>
              <w:left w:val="nil"/>
              <w:bottom w:val="nil"/>
              <w:right w:val="single" w:sz="4" w:space="0" w:color="auto"/>
            </w:tcBorders>
            <w:vAlign w:val="bottom"/>
          </w:tcPr>
          <w:p w:rsidR="00492D2F" w:rsidRDefault="00492D2F">
            <w:pPr>
              <w:pStyle w:val="ConsPlusNormal"/>
              <w:jc w:val="right"/>
            </w:pPr>
            <w:r>
              <w:t>ИНН</w:t>
            </w:r>
          </w:p>
        </w:tc>
        <w:tc>
          <w:tcPr>
            <w:tcW w:w="1304" w:type="dxa"/>
            <w:tcBorders>
              <w:top w:val="single" w:sz="4" w:space="0" w:color="auto"/>
              <w:left w:val="single" w:sz="4" w:space="0" w:color="auto"/>
              <w:bottom w:val="single" w:sz="4" w:space="0" w:color="auto"/>
              <w:right w:val="single" w:sz="4" w:space="0" w:color="auto"/>
            </w:tcBorders>
          </w:tcPr>
          <w:p w:rsidR="00492D2F" w:rsidRDefault="00492D2F">
            <w:pPr>
              <w:pStyle w:val="ConsPlusNormal"/>
            </w:pPr>
          </w:p>
        </w:tc>
      </w:tr>
      <w:tr w:rsidR="00492D2F">
        <w:tblPrEx>
          <w:tblBorders>
            <w:insideV w:val="none" w:sz="0" w:space="0" w:color="auto"/>
          </w:tblBorders>
        </w:tblPrEx>
        <w:tc>
          <w:tcPr>
            <w:tcW w:w="6180" w:type="dxa"/>
            <w:gridSpan w:val="2"/>
            <w:tcBorders>
              <w:top w:val="nil"/>
              <w:left w:val="nil"/>
              <w:bottom w:val="nil"/>
              <w:right w:val="nil"/>
            </w:tcBorders>
          </w:tcPr>
          <w:p w:rsidR="00492D2F" w:rsidRDefault="00492D2F">
            <w:pPr>
              <w:pStyle w:val="ConsPlusNormal"/>
            </w:pPr>
          </w:p>
        </w:tc>
        <w:tc>
          <w:tcPr>
            <w:tcW w:w="1531" w:type="dxa"/>
            <w:tcBorders>
              <w:top w:val="nil"/>
              <w:left w:val="nil"/>
              <w:bottom w:val="nil"/>
              <w:right w:val="single" w:sz="4" w:space="0" w:color="auto"/>
            </w:tcBorders>
          </w:tcPr>
          <w:p w:rsidR="00492D2F" w:rsidRDefault="00492D2F">
            <w:pPr>
              <w:pStyle w:val="ConsPlusNormal"/>
              <w:jc w:val="right"/>
            </w:pPr>
            <w:r>
              <w:t>КПП</w:t>
            </w:r>
          </w:p>
        </w:tc>
        <w:tc>
          <w:tcPr>
            <w:tcW w:w="1304" w:type="dxa"/>
            <w:tcBorders>
              <w:top w:val="single" w:sz="4" w:space="0" w:color="auto"/>
              <w:left w:val="single" w:sz="4" w:space="0" w:color="auto"/>
              <w:bottom w:val="single" w:sz="4" w:space="0" w:color="auto"/>
              <w:right w:val="single" w:sz="4" w:space="0" w:color="auto"/>
            </w:tcBorders>
          </w:tcPr>
          <w:p w:rsidR="00492D2F" w:rsidRDefault="00492D2F">
            <w:pPr>
              <w:pStyle w:val="ConsPlusNormal"/>
            </w:pPr>
          </w:p>
        </w:tc>
      </w:tr>
    </w:tbl>
    <w:p w:rsidR="00492D2F" w:rsidRDefault="00492D2F">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492D2F">
        <w:tc>
          <w:tcPr>
            <w:tcW w:w="9014" w:type="dxa"/>
            <w:tcBorders>
              <w:top w:val="nil"/>
              <w:left w:val="nil"/>
              <w:bottom w:val="nil"/>
              <w:right w:val="nil"/>
            </w:tcBorders>
            <w:vAlign w:val="bottom"/>
          </w:tcPr>
          <w:p w:rsidR="00492D2F" w:rsidRDefault="00492D2F">
            <w:pPr>
              <w:pStyle w:val="ConsPlusNormal"/>
              <w:jc w:val="center"/>
              <w:outlineLvl w:val="2"/>
            </w:pPr>
            <w:bookmarkStart w:id="10" w:name="P292"/>
            <w:bookmarkEnd w:id="10"/>
            <w:r>
              <w:t>Образцы подписей должностных лиц клиента, имеющих право подписи распоряжений и иных документов при совершении операций по казначейскому счету</w:t>
            </w:r>
          </w:p>
        </w:tc>
      </w:tr>
    </w:tbl>
    <w:p w:rsidR="00492D2F" w:rsidRDefault="00492D2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56"/>
        <w:gridCol w:w="1474"/>
        <w:gridCol w:w="1814"/>
        <w:gridCol w:w="1982"/>
        <w:gridCol w:w="2707"/>
      </w:tblGrid>
      <w:tr w:rsidR="00492D2F">
        <w:tc>
          <w:tcPr>
            <w:tcW w:w="1056" w:type="dxa"/>
            <w:tcBorders>
              <w:left w:val="nil"/>
            </w:tcBorders>
          </w:tcPr>
          <w:p w:rsidR="00492D2F" w:rsidRDefault="00492D2F">
            <w:pPr>
              <w:pStyle w:val="ConsPlusNormal"/>
              <w:jc w:val="center"/>
            </w:pPr>
            <w:r>
              <w:t>Право подписи</w:t>
            </w:r>
          </w:p>
        </w:tc>
        <w:tc>
          <w:tcPr>
            <w:tcW w:w="1474" w:type="dxa"/>
          </w:tcPr>
          <w:p w:rsidR="00492D2F" w:rsidRDefault="00492D2F">
            <w:pPr>
              <w:pStyle w:val="ConsPlusNormal"/>
              <w:jc w:val="center"/>
            </w:pPr>
            <w:r>
              <w:t>Должность</w:t>
            </w:r>
          </w:p>
        </w:tc>
        <w:tc>
          <w:tcPr>
            <w:tcW w:w="1814" w:type="dxa"/>
          </w:tcPr>
          <w:p w:rsidR="00492D2F" w:rsidRDefault="00492D2F">
            <w:pPr>
              <w:pStyle w:val="ConsPlusNormal"/>
              <w:jc w:val="center"/>
            </w:pPr>
            <w:r>
              <w:t>Фамилия, имя, отчество</w:t>
            </w:r>
          </w:p>
        </w:tc>
        <w:tc>
          <w:tcPr>
            <w:tcW w:w="1982" w:type="dxa"/>
          </w:tcPr>
          <w:p w:rsidR="00492D2F" w:rsidRDefault="00492D2F">
            <w:pPr>
              <w:pStyle w:val="ConsPlusNormal"/>
              <w:jc w:val="center"/>
            </w:pPr>
            <w:r>
              <w:t>Образец подписи</w:t>
            </w:r>
          </w:p>
        </w:tc>
        <w:tc>
          <w:tcPr>
            <w:tcW w:w="2707" w:type="dxa"/>
            <w:tcBorders>
              <w:right w:val="nil"/>
            </w:tcBorders>
          </w:tcPr>
          <w:p w:rsidR="00492D2F" w:rsidRDefault="00492D2F">
            <w:pPr>
              <w:pStyle w:val="ConsPlusNormal"/>
              <w:jc w:val="center"/>
            </w:pPr>
            <w:r>
              <w:t>Срок полномочий лиц, временно пользующихся правом подписи</w:t>
            </w:r>
          </w:p>
        </w:tc>
      </w:tr>
      <w:tr w:rsidR="00492D2F">
        <w:tc>
          <w:tcPr>
            <w:tcW w:w="1056" w:type="dxa"/>
            <w:tcBorders>
              <w:left w:val="nil"/>
            </w:tcBorders>
          </w:tcPr>
          <w:p w:rsidR="00492D2F" w:rsidRDefault="00492D2F">
            <w:pPr>
              <w:pStyle w:val="ConsPlusNormal"/>
              <w:jc w:val="center"/>
            </w:pPr>
            <w:r>
              <w:t>1</w:t>
            </w:r>
          </w:p>
        </w:tc>
        <w:tc>
          <w:tcPr>
            <w:tcW w:w="1474" w:type="dxa"/>
          </w:tcPr>
          <w:p w:rsidR="00492D2F" w:rsidRDefault="00492D2F">
            <w:pPr>
              <w:pStyle w:val="ConsPlusNormal"/>
              <w:jc w:val="center"/>
            </w:pPr>
            <w:bookmarkStart w:id="11" w:name="P300"/>
            <w:bookmarkEnd w:id="11"/>
            <w:r>
              <w:t>2</w:t>
            </w:r>
          </w:p>
        </w:tc>
        <w:tc>
          <w:tcPr>
            <w:tcW w:w="1814" w:type="dxa"/>
          </w:tcPr>
          <w:p w:rsidR="00492D2F" w:rsidRDefault="00492D2F">
            <w:pPr>
              <w:pStyle w:val="ConsPlusNormal"/>
              <w:jc w:val="center"/>
            </w:pPr>
            <w:bookmarkStart w:id="12" w:name="P301"/>
            <w:bookmarkEnd w:id="12"/>
            <w:r>
              <w:t>3</w:t>
            </w:r>
          </w:p>
        </w:tc>
        <w:tc>
          <w:tcPr>
            <w:tcW w:w="1982" w:type="dxa"/>
          </w:tcPr>
          <w:p w:rsidR="00492D2F" w:rsidRDefault="00492D2F">
            <w:pPr>
              <w:pStyle w:val="ConsPlusNormal"/>
              <w:jc w:val="center"/>
            </w:pPr>
            <w:bookmarkStart w:id="13" w:name="P302"/>
            <w:bookmarkEnd w:id="13"/>
            <w:r>
              <w:t>4</w:t>
            </w:r>
          </w:p>
        </w:tc>
        <w:tc>
          <w:tcPr>
            <w:tcW w:w="2707" w:type="dxa"/>
            <w:tcBorders>
              <w:right w:val="nil"/>
            </w:tcBorders>
          </w:tcPr>
          <w:p w:rsidR="00492D2F" w:rsidRDefault="00492D2F">
            <w:pPr>
              <w:pStyle w:val="ConsPlusNormal"/>
              <w:jc w:val="center"/>
            </w:pPr>
            <w:bookmarkStart w:id="14" w:name="P303"/>
            <w:bookmarkEnd w:id="14"/>
            <w:r>
              <w:t>5</w:t>
            </w:r>
          </w:p>
        </w:tc>
      </w:tr>
      <w:tr w:rsidR="00492D2F">
        <w:tc>
          <w:tcPr>
            <w:tcW w:w="1056" w:type="dxa"/>
            <w:vMerge w:val="restart"/>
            <w:tcBorders>
              <w:left w:val="nil"/>
            </w:tcBorders>
            <w:vAlign w:val="center"/>
          </w:tcPr>
          <w:p w:rsidR="00492D2F" w:rsidRDefault="00492D2F">
            <w:pPr>
              <w:pStyle w:val="ConsPlusNormal"/>
              <w:jc w:val="center"/>
            </w:pPr>
            <w:r>
              <w:t>первой</w:t>
            </w:r>
          </w:p>
        </w:tc>
        <w:tc>
          <w:tcPr>
            <w:tcW w:w="1474" w:type="dxa"/>
          </w:tcPr>
          <w:p w:rsidR="00492D2F" w:rsidRDefault="00492D2F">
            <w:pPr>
              <w:pStyle w:val="ConsPlusNormal"/>
            </w:pPr>
          </w:p>
        </w:tc>
        <w:tc>
          <w:tcPr>
            <w:tcW w:w="1814" w:type="dxa"/>
          </w:tcPr>
          <w:p w:rsidR="00492D2F" w:rsidRDefault="00492D2F">
            <w:pPr>
              <w:pStyle w:val="ConsPlusNormal"/>
            </w:pPr>
          </w:p>
        </w:tc>
        <w:tc>
          <w:tcPr>
            <w:tcW w:w="1982" w:type="dxa"/>
          </w:tcPr>
          <w:p w:rsidR="00492D2F" w:rsidRDefault="00492D2F">
            <w:pPr>
              <w:pStyle w:val="ConsPlusNormal"/>
            </w:pPr>
          </w:p>
        </w:tc>
        <w:tc>
          <w:tcPr>
            <w:tcW w:w="2707" w:type="dxa"/>
            <w:tcBorders>
              <w:right w:val="nil"/>
            </w:tcBorders>
          </w:tcPr>
          <w:p w:rsidR="00492D2F" w:rsidRDefault="00492D2F">
            <w:pPr>
              <w:pStyle w:val="ConsPlusNormal"/>
            </w:pPr>
          </w:p>
        </w:tc>
      </w:tr>
      <w:tr w:rsidR="00492D2F">
        <w:tblPrEx>
          <w:tblBorders>
            <w:left w:val="single" w:sz="4" w:space="0" w:color="auto"/>
          </w:tblBorders>
        </w:tblPrEx>
        <w:tc>
          <w:tcPr>
            <w:tcW w:w="1056" w:type="dxa"/>
            <w:vMerge/>
            <w:tcBorders>
              <w:left w:val="nil"/>
            </w:tcBorders>
          </w:tcPr>
          <w:p w:rsidR="00492D2F" w:rsidRDefault="00492D2F"/>
        </w:tc>
        <w:tc>
          <w:tcPr>
            <w:tcW w:w="1474" w:type="dxa"/>
          </w:tcPr>
          <w:p w:rsidR="00492D2F" w:rsidRDefault="00492D2F">
            <w:pPr>
              <w:pStyle w:val="ConsPlusNormal"/>
            </w:pPr>
          </w:p>
        </w:tc>
        <w:tc>
          <w:tcPr>
            <w:tcW w:w="1814" w:type="dxa"/>
          </w:tcPr>
          <w:p w:rsidR="00492D2F" w:rsidRDefault="00492D2F">
            <w:pPr>
              <w:pStyle w:val="ConsPlusNormal"/>
            </w:pPr>
          </w:p>
        </w:tc>
        <w:tc>
          <w:tcPr>
            <w:tcW w:w="1982" w:type="dxa"/>
          </w:tcPr>
          <w:p w:rsidR="00492D2F" w:rsidRDefault="00492D2F">
            <w:pPr>
              <w:pStyle w:val="ConsPlusNormal"/>
            </w:pPr>
          </w:p>
        </w:tc>
        <w:tc>
          <w:tcPr>
            <w:tcW w:w="2707" w:type="dxa"/>
            <w:tcBorders>
              <w:right w:val="nil"/>
            </w:tcBorders>
          </w:tcPr>
          <w:p w:rsidR="00492D2F" w:rsidRDefault="00492D2F">
            <w:pPr>
              <w:pStyle w:val="ConsPlusNormal"/>
            </w:pPr>
          </w:p>
        </w:tc>
      </w:tr>
      <w:tr w:rsidR="00492D2F">
        <w:tblPrEx>
          <w:tblBorders>
            <w:left w:val="single" w:sz="4" w:space="0" w:color="auto"/>
          </w:tblBorders>
        </w:tblPrEx>
        <w:tc>
          <w:tcPr>
            <w:tcW w:w="1056" w:type="dxa"/>
            <w:vMerge/>
            <w:tcBorders>
              <w:left w:val="nil"/>
            </w:tcBorders>
          </w:tcPr>
          <w:p w:rsidR="00492D2F" w:rsidRDefault="00492D2F"/>
        </w:tc>
        <w:tc>
          <w:tcPr>
            <w:tcW w:w="1474" w:type="dxa"/>
          </w:tcPr>
          <w:p w:rsidR="00492D2F" w:rsidRDefault="00492D2F">
            <w:pPr>
              <w:pStyle w:val="ConsPlusNormal"/>
            </w:pPr>
          </w:p>
        </w:tc>
        <w:tc>
          <w:tcPr>
            <w:tcW w:w="1814" w:type="dxa"/>
          </w:tcPr>
          <w:p w:rsidR="00492D2F" w:rsidRDefault="00492D2F">
            <w:pPr>
              <w:pStyle w:val="ConsPlusNormal"/>
            </w:pPr>
          </w:p>
        </w:tc>
        <w:tc>
          <w:tcPr>
            <w:tcW w:w="1982" w:type="dxa"/>
          </w:tcPr>
          <w:p w:rsidR="00492D2F" w:rsidRDefault="00492D2F">
            <w:pPr>
              <w:pStyle w:val="ConsPlusNormal"/>
            </w:pPr>
          </w:p>
        </w:tc>
        <w:tc>
          <w:tcPr>
            <w:tcW w:w="2707" w:type="dxa"/>
            <w:tcBorders>
              <w:right w:val="nil"/>
            </w:tcBorders>
          </w:tcPr>
          <w:p w:rsidR="00492D2F" w:rsidRDefault="00492D2F">
            <w:pPr>
              <w:pStyle w:val="ConsPlusNormal"/>
            </w:pPr>
          </w:p>
        </w:tc>
      </w:tr>
      <w:tr w:rsidR="00492D2F">
        <w:tc>
          <w:tcPr>
            <w:tcW w:w="1056" w:type="dxa"/>
            <w:vMerge w:val="restart"/>
            <w:tcBorders>
              <w:left w:val="nil"/>
            </w:tcBorders>
            <w:vAlign w:val="center"/>
          </w:tcPr>
          <w:p w:rsidR="00492D2F" w:rsidRDefault="00492D2F">
            <w:pPr>
              <w:pStyle w:val="ConsPlusNormal"/>
              <w:jc w:val="center"/>
            </w:pPr>
            <w:r>
              <w:t>второй</w:t>
            </w:r>
          </w:p>
        </w:tc>
        <w:tc>
          <w:tcPr>
            <w:tcW w:w="1474" w:type="dxa"/>
          </w:tcPr>
          <w:p w:rsidR="00492D2F" w:rsidRDefault="00492D2F">
            <w:pPr>
              <w:pStyle w:val="ConsPlusNormal"/>
            </w:pPr>
          </w:p>
        </w:tc>
        <w:tc>
          <w:tcPr>
            <w:tcW w:w="1814" w:type="dxa"/>
          </w:tcPr>
          <w:p w:rsidR="00492D2F" w:rsidRDefault="00492D2F">
            <w:pPr>
              <w:pStyle w:val="ConsPlusNormal"/>
            </w:pPr>
          </w:p>
        </w:tc>
        <w:tc>
          <w:tcPr>
            <w:tcW w:w="1982" w:type="dxa"/>
          </w:tcPr>
          <w:p w:rsidR="00492D2F" w:rsidRDefault="00492D2F">
            <w:pPr>
              <w:pStyle w:val="ConsPlusNormal"/>
            </w:pPr>
          </w:p>
        </w:tc>
        <w:tc>
          <w:tcPr>
            <w:tcW w:w="2707" w:type="dxa"/>
            <w:tcBorders>
              <w:right w:val="nil"/>
            </w:tcBorders>
          </w:tcPr>
          <w:p w:rsidR="00492D2F" w:rsidRDefault="00492D2F">
            <w:pPr>
              <w:pStyle w:val="ConsPlusNormal"/>
            </w:pPr>
          </w:p>
        </w:tc>
      </w:tr>
      <w:tr w:rsidR="00492D2F">
        <w:tblPrEx>
          <w:tblBorders>
            <w:left w:val="single" w:sz="4" w:space="0" w:color="auto"/>
          </w:tblBorders>
        </w:tblPrEx>
        <w:tc>
          <w:tcPr>
            <w:tcW w:w="1056" w:type="dxa"/>
            <w:vMerge/>
            <w:tcBorders>
              <w:left w:val="nil"/>
            </w:tcBorders>
          </w:tcPr>
          <w:p w:rsidR="00492D2F" w:rsidRDefault="00492D2F"/>
        </w:tc>
        <w:tc>
          <w:tcPr>
            <w:tcW w:w="1474" w:type="dxa"/>
          </w:tcPr>
          <w:p w:rsidR="00492D2F" w:rsidRDefault="00492D2F">
            <w:pPr>
              <w:pStyle w:val="ConsPlusNormal"/>
            </w:pPr>
          </w:p>
        </w:tc>
        <w:tc>
          <w:tcPr>
            <w:tcW w:w="1814" w:type="dxa"/>
          </w:tcPr>
          <w:p w:rsidR="00492D2F" w:rsidRDefault="00492D2F">
            <w:pPr>
              <w:pStyle w:val="ConsPlusNormal"/>
            </w:pPr>
          </w:p>
        </w:tc>
        <w:tc>
          <w:tcPr>
            <w:tcW w:w="1982" w:type="dxa"/>
          </w:tcPr>
          <w:p w:rsidR="00492D2F" w:rsidRDefault="00492D2F">
            <w:pPr>
              <w:pStyle w:val="ConsPlusNormal"/>
            </w:pPr>
          </w:p>
        </w:tc>
        <w:tc>
          <w:tcPr>
            <w:tcW w:w="2707" w:type="dxa"/>
            <w:tcBorders>
              <w:right w:val="nil"/>
            </w:tcBorders>
          </w:tcPr>
          <w:p w:rsidR="00492D2F" w:rsidRDefault="00492D2F">
            <w:pPr>
              <w:pStyle w:val="ConsPlusNormal"/>
            </w:pPr>
          </w:p>
        </w:tc>
      </w:tr>
      <w:tr w:rsidR="00492D2F">
        <w:tblPrEx>
          <w:tblBorders>
            <w:left w:val="single" w:sz="4" w:space="0" w:color="auto"/>
          </w:tblBorders>
        </w:tblPrEx>
        <w:tc>
          <w:tcPr>
            <w:tcW w:w="1056" w:type="dxa"/>
            <w:vMerge/>
            <w:tcBorders>
              <w:left w:val="nil"/>
            </w:tcBorders>
          </w:tcPr>
          <w:p w:rsidR="00492D2F" w:rsidRDefault="00492D2F"/>
        </w:tc>
        <w:tc>
          <w:tcPr>
            <w:tcW w:w="1474" w:type="dxa"/>
          </w:tcPr>
          <w:p w:rsidR="00492D2F" w:rsidRDefault="00492D2F">
            <w:pPr>
              <w:pStyle w:val="ConsPlusNormal"/>
            </w:pPr>
          </w:p>
        </w:tc>
        <w:tc>
          <w:tcPr>
            <w:tcW w:w="1814" w:type="dxa"/>
          </w:tcPr>
          <w:p w:rsidR="00492D2F" w:rsidRDefault="00492D2F">
            <w:pPr>
              <w:pStyle w:val="ConsPlusNormal"/>
            </w:pPr>
          </w:p>
        </w:tc>
        <w:tc>
          <w:tcPr>
            <w:tcW w:w="1982" w:type="dxa"/>
          </w:tcPr>
          <w:p w:rsidR="00492D2F" w:rsidRDefault="00492D2F">
            <w:pPr>
              <w:pStyle w:val="ConsPlusNormal"/>
            </w:pPr>
          </w:p>
        </w:tc>
        <w:tc>
          <w:tcPr>
            <w:tcW w:w="2707" w:type="dxa"/>
            <w:tcBorders>
              <w:right w:val="nil"/>
            </w:tcBorders>
          </w:tcPr>
          <w:p w:rsidR="00492D2F" w:rsidRDefault="00492D2F">
            <w:pPr>
              <w:pStyle w:val="ConsPlusNormal"/>
            </w:pPr>
          </w:p>
        </w:tc>
      </w:tr>
    </w:tbl>
    <w:p w:rsidR="00492D2F" w:rsidRDefault="00492D2F">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30"/>
        <w:gridCol w:w="340"/>
        <w:gridCol w:w="1474"/>
        <w:gridCol w:w="340"/>
        <w:gridCol w:w="1229"/>
        <w:gridCol w:w="340"/>
        <w:gridCol w:w="2154"/>
      </w:tblGrid>
      <w:tr w:rsidR="00492D2F">
        <w:tc>
          <w:tcPr>
            <w:tcW w:w="3130" w:type="dxa"/>
            <w:tcBorders>
              <w:top w:val="nil"/>
              <w:left w:val="nil"/>
              <w:bottom w:val="nil"/>
              <w:right w:val="nil"/>
            </w:tcBorders>
            <w:vAlign w:val="bottom"/>
          </w:tcPr>
          <w:p w:rsidR="00492D2F" w:rsidRDefault="00492D2F">
            <w:pPr>
              <w:pStyle w:val="ConsPlusNormal"/>
            </w:pPr>
            <w:r>
              <w:t>Руководитель клиента</w:t>
            </w:r>
          </w:p>
          <w:p w:rsidR="00492D2F" w:rsidRDefault="00492D2F">
            <w:pPr>
              <w:pStyle w:val="ConsPlusNormal"/>
            </w:pPr>
            <w:r>
              <w:t>(уполномоченное лицо)</w:t>
            </w:r>
          </w:p>
        </w:tc>
        <w:tc>
          <w:tcPr>
            <w:tcW w:w="340" w:type="dxa"/>
            <w:tcBorders>
              <w:top w:val="nil"/>
              <w:left w:val="nil"/>
              <w:bottom w:val="nil"/>
              <w:right w:val="nil"/>
            </w:tcBorders>
          </w:tcPr>
          <w:p w:rsidR="00492D2F" w:rsidRDefault="00492D2F">
            <w:pPr>
              <w:pStyle w:val="ConsPlusNormal"/>
            </w:pPr>
          </w:p>
        </w:tc>
        <w:tc>
          <w:tcPr>
            <w:tcW w:w="1474" w:type="dxa"/>
            <w:tcBorders>
              <w:top w:val="nil"/>
              <w:left w:val="nil"/>
              <w:bottom w:val="single" w:sz="4" w:space="0" w:color="auto"/>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1229" w:type="dxa"/>
            <w:tcBorders>
              <w:top w:val="nil"/>
              <w:left w:val="nil"/>
              <w:bottom w:val="single" w:sz="4" w:space="0" w:color="auto"/>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2154" w:type="dxa"/>
            <w:tcBorders>
              <w:top w:val="nil"/>
              <w:left w:val="nil"/>
              <w:bottom w:val="single" w:sz="4" w:space="0" w:color="auto"/>
              <w:right w:val="nil"/>
            </w:tcBorders>
          </w:tcPr>
          <w:p w:rsidR="00492D2F" w:rsidRDefault="00492D2F">
            <w:pPr>
              <w:pStyle w:val="ConsPlusNormal"/>
            </w:pPr>
          </w:p>
        </w:tc>
      </w:tr>
      <w:tr w:rsidR="00492D2F">
        <w:tc>
          <w:tcPr>
            <w:tcW w:w="3130" w:type="dxa"/>
            <w:tcBorders>
              <w:top w:val="nil"/>
              <w:left w:val="nil"/>
              <w:bottom w:val="nil"/>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1474" w:type="dxa"/>
            <w:tcBorders>
              <w:top w:val="single" w:sz="4" w:space="0" w:color="auto"/>
              <w:left w:val="nil"/>
              <w:bottom w:val="nil"/>
              <w:right w:val="nil"/>
            </w:tcBorders>
          </w:tcPr>
          <w:p w:rsidR="00492D2F" w:rsidRDefault="00492D2F">
            <w:pPr>
              <w:pStyle w:val="ConsPlusNormal"/>
              <w:jc w:val="center"/>
            </w:pPr>
            <w:r>
              <w:t>(должность)</w:t>
            </w:r>
          </w:p>
        </w:tc>
        <w:tc>
          <w:tcPr>
            <w:tcW w:w="340" w:type="dxa"/>
            <w:tcBorders>
              <w:top w:val="nil"/>
              <w:left w:val="nil"/>
              <w:bottom w:val="nil"/>
              <w:right w:val="nil"/>
            </w:tcBorders>
          </w:tcPr>
          <w:p w:rsidR="00492D2F" w:rsidRDefault="00492D2F">
            <w:pPr>
              <w:pStyle w:val="ConsPlusNormal"/>
            </w:pPr>
          </w:p>
        </w:tc>
        <w:tc>
          <w:tcPr>
            <w:tcW w:w="1229" w:type="dxa"/>
            <w:tcBorders>
              <w:top w:val="single" w:sz="4" w:space="0" w:color="auto"/>
              <w:left w:val="nil"/>
              <w:bottom w:val="nil"/>
              <w:right w:val="nil"/>
            </w:tcBorders>
          </w:tcPr>
          <w:p w:rsidR="00492D2F" w:rsidRDefault="00492D2F">
            <w:pPr>
              <w:pStyle w:val="ConsPlusNormal"/>
              <w:jc w:val="center"/>
            </w:pPr>
            <w:r>
              <w:t>(подпись)</w:t>
            </w:r>
          </w:p>
        </w:tc>
        <w:tc>
          <w:tcPr>
            <w:tcW w:w="340" w:type="dxa"/>
            <w:tcBorders>
              <w:top w:val="nil"/>
              <w:left w:val="nil"/>
              <w:bottom w:val="nil"/>
              <w:right w:val="nil"/>
            </w:tcBorders>
          </w:tcPr>
          <w:p w:rsidR="00492D2F" w:rsidRDefault="00492D2F">
            <w:pPr>
              <w:pStyle w:val="ConsPlusNormal"/>
            </w:pPr>
          </w:p>
        </w:tc>
        <w:tc>
          <w:tcPr>
            <w:tcW w:w="2154" w:type="dxa"/>
            <w:tcBorders>
              <w:top w:val="single" w:sz="4" w:space="0" w:color="auto"/>
              <w:left w:val="nil"/>
              <w:bottom w:val="nil"/>
              <w:right w:val="nil"/>
            </w:tcBorders>
          </w:tcPr>
          <w:p w:rsidR="00492D2F" w:rsidRDefault="00492D2F">
            <w:pPr>
              <w:pStyle w:val="ConsPlusNormal"/>
              <w:jc w:val="center"/>
            </w:pPr>
            <w:r>
              <w:t>(расшифровка подписи)</w:t>
            </w:r>
          </w:p>
        </w:tc>
      </w:tr>
      <w:tr w:rsidR="00492D2F">
        <w:tc>
          <w:tcPr>
            <w:tcW w:w="3130" w:type="dxa"/>
            <w:tcBorders>
              <w:top w:val="nil"/>
              <w:left w:val="nil"/>
              <w:bottom w:val="nil"/>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1474" w:type="dxa"/>
            <w:tcBorders>
              <w:top w:val="nil"/>
              <w:left w:val="nil"/>
              <w:bottom w:val="nil"/>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1229" w:type="dxa"/>
            <w:tcBorders>
              <w:top w:val="nil"/>
              <w:left w:val="nil"/>
              <w:bottom w:val="nil"/>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2154" w:type="dxa"/>
            <w:tcBorders>
              <w:top w:val="nil"/>
              <w:left w:val="nil"/>
              <w:bottom w:val="nil"/>
              <w:right w:val="nil"/>
            </w:tcBorders>
          </w:tcPr>
          <w:p w:rsidR="00492D2F" w:rsidRDefault="00492D2F">
            <w:pPr>
              <w:pStyle w:val="ConsPlusNormal"/>
            </w:pPr>
            <w:r>
              <w:t>М.П.</w:t>
            </w:r>
          </w:p>
        </w:tc>
      </w:tr>
      <w:tr w:rsidR="00492D2F">
        <w:tc>
          <w:tcPr>
            <w:tcW w:w="3130" w:type="dxa"/>
            <w:tcBorders>
              <w:top w:val="nil"/>
              <w:left w:val="nil"/>
              <w:bottom w:val="nil"/>
              <w:right w:val="nil"/>
            </w:tcBorders>
            <w:vAlign w:val="bottom"/>
          </w:tcPr>
          <w:p w:rsidR="00492D2F" w:rsidRDefault="00492D2F">
            <w:pPr>
              <w:pStyle w:val="ConsPlusNormal"/>
            </w:pPr>
            <w:r>
              <w:t>Главный бухгалтер клиента</w:t>
            </w:r>
          </w:p>
          <w:p w:rsidR="00492D2F" w:rsidRDefault="00492D2F">
            <w:pPr>
              <w:pStyle w:val="ConsPlusNormal"/>
            </w:pPr>
            <w:r>
              <w:t>(уполномоченное лицо)</w:t>
            </w:r>
          </w:p>
        </w:tc>
        <w:tc>
          <w:tcPr>
            <w:tcW w:w="340" w:type="dxa"/>
            <w:tcBorders>
              <w:top w:val="nil"/>
              <w:left w:val="nil"/>
              <w:bottom w:val="nil"/>
              <w:right w:val="nil"/>
            </w:tcBorders>
          </w:tcPr>
          <w:p w:rsidR="00492D2F" w:rsidRDefault="00492D2F">
            <w:pPr>
              <w:pStyle w:val="ConsPlusNormal"/>
            </w:pPr>
          </w:p>
        </w:tc>
        <w:tc>
          <w:tcPr>
            <w:tcW w:w="1474" w:type="dxa"/>
            <w:tcBorders>
              <w:top w:val="nil"/>
              <w:left w:val="nil"/>
              <w:bottom w:val="single" w:sz="4" w:space="0" w:color="auto"/>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1229" w:type="dxa"/>
            <w:tcBorders>
              <w:top w:val="nil"/>
              <w:left w:val="nil"/>
              <w:bottom w:val="single" w:sz="4" w:space="0" w:color="auto"/>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2154" w:type="dxa"/>
            <w:tcBorders>
              <w:top w:val="nil"/>
              <w:left w:val="nil"/>
              <w:bottom w:val="single" w:sz="4" w:space="0" w:color="auto"/>
              <w:right w:val="nil"/>
            </w:tcBorders>
          </w:tcPr>
          <w:p w:rsidR="00492D2F" w:rsidRDefault="00492D2F">
            <w:pPr>
              <w:pStyle w:val="ConsPlusNormal"/>
            </w:pPr>
          </w:p>
        </w:tc>
      </w:tr>
      <w:tr w:rsidR="00492D2F">
        <w:tc>
          <w:tcPr>
            <w:tcW w:w="3130" w:type="dxa"/>
            <w:tcBorders>
              <w:top w:val="nil"/>
              <w:left w:val="nil"/>
              <w:bottom w:val="nil"/>
              <w:right w:val="nil"/>
            </w:tcBorders>
          </w:tcPr>
          <w:p w:rsidR="00492D2F" w:rsidRDefault="00492D2F">
            <w:pPr>
              <w:pStyle w:val="ConsPlusNormal"/>
            </w:pPr>
          </w:p>
        </w:tc>
        <w:tc>
          <w:tcPr>
            <w:tcW w:w="340" w:type="dxa"/>
            <w:tcBorders>
              <w:top w:val="nil"/>
              <w:left w:val="nil"/>
              <w:bottom w:val="nil"/>
              <w:right w:val="nil"/>
            </w:tcBorders>
          </w:tcPr>
          <w:p w:rsidR="00492D2F" w:rsidRDefault="00492D2F">
            <w:pPr>
              <w:pStyle w:val="ConsPlusNormal"/>
            </w:pPr>
          </w:p>
        </w:tc>
        <w:tc>
          <w:tcPr>
            <w:tcW w:w="1474" w:type="dxa"/>
            <w:tcBorders>
              <w:top w:val="single" w:sz="4" w:space="0" w:color="auto"/>
              <w:left w:val="nil"/>
              <w:bottom w:val="nil"/>
              <w:right w:val="nil"/>
            </w:tcBorders>
          </w:tcPr>
          <w:p w:rsidR="00492D2F" w:rsidRDefault="00492D2F">
            <w:pPr>
              <w:pStyle w:val="ConsPlusNormal"/>
              <w:jc w:val="center"/>
            </w:pPr>
            <w:r>
              <w:t>(должность)</w:t>
            </w:r>
          </w:p>
        </w:tc>
        <w:tc>
          <w:tcPr>
            <w:tcW w:w="340" w:type="dxa"/>
            <w:tcBorders>
              <w:top w:val="nil"/>
              <w:left w:val="nil"/>
              <w:bottom w:val="nil"/>
              <w:right w:val="nil"/>
            </w:tcBorders>
          </w:tcPr>
          <w:p w:rsidR="00492D2F" w:rsidRDefault="00492D2F">
            <w:pPr>
              <w:pStyle w:val="ConsPlusNormal"/>
            </w:pPr>
          </w:p>
        </w:tc>
        <w:tc>
          <w:tcPr>
            <w:tcW w:w="1229" w:type="dxa"/>
            <w:tcBorders>
              <w:top w:val="single" w:sz="4" w:space="0" w:color="auto"/>
              <w:left w:val="nil"/>
              <w:bottom w:val="nil"/>
              <w:right w:val="nil"/>
            </w:tcBorders>
          </w:tcPr>
          <w:p w:rsidR="00492D2F" w:rsidRDefault="00492D2F">
            <w:pPr>
              <w:pStyle w:val="ConsPlusNormal"/>
              <w:jc w:val="center"/>
            </w:pPr>
            <w:r>
              <w:t>(подпись)</w:t>
            </w:r>
          </w:p>
        </w:tc>
        <w:tc>
          <w:tcPr>
            <w:tcW w:w="340" w:type="dxa"/>
            <w:tcBorders>
              <w:top w:val="nil"/>
              <w:left w:val="nil"/>
              <w:bottom w:val="nil"/>
              <w:right w:val="nil"/>
            </w:tcBorders>
          </w:tcPr>
          <w:p w:rsidR="00492D2F" w:rsidRDefault="00492D2F">
            <w:pPr>
              <w:pStyle w:val="ConsPlusNormal"/>
            </w:pPr>
          </w:p>
        </w:tc>
        <w:tc>
          <w:tcPr>
            <w:tcW w:w="2154" w:type="dxa"/>
            <w:tcBorders>
              <w:top w:val="single" w:sz="4" w:space="0" w:color="auto"/>
              <w:left w:val="nil"/>
              <w:bottom w:val="nil"/>
              <w:right w:val="nil"/>
            </w:tcBorders>
          </w:tcPr>
          <w:p w:rsidR="00492D2F" w:rsidRDefault="00492D2F">
            <w:pPr>
              <w:pStyle w:val="ConsPlusNormal"/>
              <w:jc w:val="center"/>
            </w:pPr>
            <w:r>
              <w:t>(расшифровка подписи)</w:t>
            </w:r>
          </w:p>
        </w:tc>
      </w:tr>
    </w:tbl>
    <w:p w:rsidR="00492D2F" w:rsidRDefault="00492D2F">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06"/>
      </w:tblGrid>
      <w:tr w:rsidR="00492D2F">
        <w:tc>
          <w:tcPr>
            <w:tcW w:w="4306" w:type="dxa"/>
            <w:tcBorders>
              <w:top w:val="nil"/>
              <w:left w:val="nil"/>
              <w:bottom w:val="nil"/>
              <w:right w:val="nil"/>
            </w:tcBorders>
            <w:vAlign w:val="center"/>
          </w:tcPr>
          <w:p w:rsidR="00492D2F" w:rsidRDefault="00492D2F">
            <w:pPr>
              <w:pStyle w:val="ConsPlusNormal"/>
            </w:pPr>
            <w:r>
              <w:t>"__" ___________________ 20__ г.</w:t>
            </w:r>
          </w:p>
        </w:tc>
      </w:tr>
    </w:tbl>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right"/>
        <w:outlineLvl w:val="1"/>
      </w:pPr>
      <w:r>
        <w:t>Приложение N 3</w:t>
      </w:r>
    </w:p>
    <w:p w:rsidR="00492D2F" w:rsidRDefault="00492D2F">
      <w:pPr>
        <w:pStyle w:val="ConsPlusNormal"/>
        <w:jc w:val="right"/>
      </w:pPr>
      <w:r>
        <w:t>к Порядку открытия казначейских счетов</w:t>
      </w:r>
    </w:p>
    <w:p w:rsidR="00492D2F" w:rsidRDefault="00492D2F">
      <w:pPr>
        <w:pStyle w:val="ConsPlusNormal"/>
        <w:jc w:val="both"/>
      </w:pPr>
    </w:p>
    <w:p w:rsidR="00492D2F" w:rsidRDefault="00492D2F">
      <w:pPr>
        <w:pStyle w:val="ConsPlusTitle"/>
        <w:jc w:val="center"/>
      </w:pPr>
      <w:bookmarkStart w:id="15" w:name="P378"/>
      <w:bookmarkEnd w:id="15"/>
      <w:r>
        <w:t>РЕКВИЗИТЫ КНИГИ РЕГИСТРАЦИИ КАЗНАЧЕЙСКИХ СЧЕТОВ</w:t>
      </w:r>
    </w:p>
    <w:p w:rsidR="00492D2F" w:rsidRDefault="00492D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26"/>
        <w:gridCol w:w="5669"/>
      </w:tblGrid>
      <w:tr w:rsidR="00492D2F">
        <w:tc>
          <w:tcPr>
            <w:tcW w:w="3326" w:type="dxa"/>
            <w:vAlign w:val="bottom"/>
          </w:tcPr>
          <w:p w:rsidR="00492D2F" w:rsidRDefault="00492D2F">
            <w:pPr>
              <w:pStyle w:val="ConsPlusNormal"/>
              <w:jc w:val="center"/>
            </w:pPr>
            <w:r>
              <w:t>Наименование реквизита</w:t>
            </w:r>
          </w:p>
        </w:tc>
        <w:tc>
          <w:tcPr>
            <w:tcW w:w="5669" w:type="dxa"/>
            <w:vAlign w:val="bottom"/>
          </w:tcPr>
          <w:p w:rsidR="00492D2F" w:rsidRDefault="00492D2F">
            <w:pPr>
              <w:pStyle w:val="ConsPlusNormal"/>
              <w:jc w:val="center"/>
            </w:pPr>
            <w:r>
              <w:t>Правила формирования, заполнения реквизита</w:t>
            </w:r>
          </w:p>
        </w:tc>
      </w:tr>
      <w:tr w:rsidR="00492D2F">
        <w:tc>
          <w:tcPr>
            <w:tcW w:w="3326" w:type="dxa"/>
          </w:tcPr>
          <w:p w:rsidR="00492D2F" w:rsidRDefault="00492D2F">
            <w:pPr>
              <w:pStyle w:val="ConsPlusNormal"/>
            </w:pPr>
            <w:r>
              <w:t>1. Наименование клиента</w:t>
            </w:r>
          </w:p>
        </w:tc>
        <w:tc>
          <w:tcPr>
            <w:tcW w:w="5669" w:type="dxa"/>
          </w:tcPr>
          <w:p w:rsidR="00492D2F" w:rsidRDefault="00492D2F">
            <w:pPr>
              <w:pStyle w:val="ConsPlusNormal"/>
            </w:pPr>
            <w:r>
              <w:t>Указывается полное наименование (с учетом символа "N", кавычек, скобок, знаков препинания)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наименованием, указанным в его реестровой записи Сводного реестра</w:t>
            </w:r>
          </w:p>
        </w:tc>
      </w:tr>
      <w:tr w:rsidR="00492D2F">
        <w:tc>
          <w:tcPr>
            <w:tcW w:w="3326" w:type="dxa"/>
          </w:tcPr>
          <w:p w:rsidR="00492D2F" w:rsidRDefault="00492D2F">
            <w:pPr>
              <w:pStyle w:val="ConsPlusNormal"/>
            </w:pPr>
            <w:r>
              <w:t>2. Код по Сводному реестру</w:t>
            </w:r>
          </w:p>
        </w:tc>
        <w:tc>
          <w:tcPr>
            <w:tcW w:w="5669" w:type="dxa"/>
          </w:tcPr>
          <w:p w:rsidR="00492D2F" w:rsidRDefault="00492D2F">
            <w:pPr>
              <w:pStyle w:val="ConsPlusNormal"/>
            </w:pPr>
            <w:r>
              <w:t>Указывается код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по Сводному реестру</w:t>
            </w:r>
          </w:p>
        </w:tc>
      </w:tr>
      <w:tr w:rsidR="00492D2F">
        <w:tc>
          <w:tcPr>
            <w:tcW w:w="3326" w:type="dxa"/>
          </w:tcPr>
          <w:p w:rsidR="00492D2F" w:rsidRDefault="00492D2F">
            <w:pPr>
              <w:pStyle w:val="ConsPlusNormal"/>
            </w:pPr>
            <w:r>
              <w:t>3. Код валюты</w:t>
            </w:r>
          </w:p>
        </w:tc>
        <w:tc>
          <w:tcPr>
            <w:tcW w:w="5669" w:type="dxa"/>
          </w:tcPr>
          <w:p w:rsidR="00492D2F" w:rsidRDefault="00492D2F">
            <w:pPr>
              <w:pStyle w:val="ConsPlusNormal"/>
            </w:pPr>
            <w:r>
              <w:t xml:space="preserve">Указывается код валюты по Общероссийскому </w:t>
            </w:r>
            <w:hyperlink r:id="rId23" w:history="1">
              <w:r>
                <w:rPr>
                  <w:color w:val="0000FF"/>
                </w:rPr>
                <w:t>классификатору</w:t>
              </w:r>
            </w:hyperlink>
            <w:r>
              <w:t xml:space="preserve"> валют</w:t>
            </w:r>
          </w:p>
        </w:tc>
      </w:tr>
      <w:tr w:rsidR="00492D2F">
        <w:tc>
          <w:tcPr>
            <w:tcW w:w="3326" w:type="dxa"/>
          </w:tcPr>
          <w:p w:rsidR="00492D2F" w:rsidRDefault="00492D2F">
            <w:pPr>
              <w:pStyle w:val="ConsPlusNormal"/>
            </w:pPr>
            <w:r>
              <w:t>4. Номер казначейского счета</w:t>
            </w:r>
          </w:p>
        </w:tc>
        <w:tc>
          <w:tcPr>
            <w:tcW w:w="5669" w:type="dxa"/>
          </w:tcPr>
          <w:p w:rsidR="00492D2F" w:rsidRDefault="00492D2F">
            <w:pPr>
              <w:pStyle w:val="ConsPlusNormal"/>
            </w:pPr>
            <w:r>
              <w:t>Указывается номер казначейского счета</w:t>
            </w:r>
          </w:p>
        </w:tc>
      </w:tr>
      <w:tr w:rsidR="00492D2F">
        <w:tc>
          <w:tcPr>
            <w:tcW w:w="3326" w:type="dxa"/>
          </w:tcPr>
          <w:p w:rsidR="00492D2F" w:rsidRDefault="00492D2F">
            <w:pPr>
              <w:pStyle w:val="ConsPlusNormal"/>
            </w:pPr>
            <w:r>
              <w:t>5. Дата открытия казначейского счета</w:t>
            </w:r>
          </w:p>
        </w:tc>
        <w:tc>
          <w:tcPr>
            <w:tcW w:w="5669" w:type="dxa"/>
          </w:tcPr>
          <w:p w:rsidR="00492D2F" w:rsidRDefault="00492D2F">
            <w:pPr>
              <w:pStyle w:val="ConsPlusNormal"/>
            </w:pPr>
            <w:r>
              <w:t>Указывается дата открытия казначейского счета в формате "день, месяц, год" (00.00.0000)</w:t>
            </w:r>
          </w:p>
        </w:tc>
      </w:tr>
      <w:tr w:rsidR="00492D2F">
        <w:tc>
          <w:tcPr>
            <w:tcW w:w="3326" w:type="dxa"/>
          </w:tcPr>
          <w:p w:rsidR="00492D2F" w:rsidRDefault="00492D2F">
            <w:pPr>
              <w:pStyle w:val="ConsPlusNormal"/>
            </w:pPr>
            <w:r>
              <w:t>6. Дата изменения реквизитов казначейского счета</w:t>
            </w:r>
          </w:p>
        </w:tc>
        <w:tc>
          <w:tcPr>
            <w:tcW w:w="5669" w:type="dxa"/>
          </w:tcPr>
          <w:p w:rsidR="00492D2F" w:rsidRDefault="00492D2F">
            <w:pPr>
              <w:pStyle w:val="ConsPlusNormal"/>
            </w:pPr>
            <w:r>
              <w:t>Указывается дата изменения реквизитов казначейского счета в формате "день, месяц, год" (00.00.0000)</w:t>
            </w:r>
          </w:p>
        </w:tc>
      </w:tr>
      <w:tr w:rsidR="00492D2F">
        <w:tc>
          <w:tcPr>
            <w:tcW w:w="3326" w:type="dxa"/>
          </w:tcPr>
          <w:p w:rsidR="00492D2F" w:rsidRDefault="00492D2F">
            <w:pPr>
              <w:pStyle w:val="ConsPlusNormal"/>
            </w:pPr>
            <w:r>
              <w:lastRenderedPageBreak/>
              <w:t>7. Дата закрытия казначейского счета</w:t>
            </w:r>
          </w:p>
        </w:tc>
        <w:tc>
          <w:tcPr>
            <w:tcW w:w="5669" w:type="dxa"/>
          </w:tcPr>
          <w:p w:rsidR="00492D2F" w:rsidRDefault="00492D2F">
            <w:pPr>
              <w:pStyle w:val="ConsPlusNormal"/>
            </w:pPr>
            <w:r>
              <w:t>Указывается дата закрытия казначейского счета в формате "день, месяц, год" (00.00.0000)</w:t>
            </w:r>
          </w:p>
        </w:tc>
      </w:tr>
      <w:tr w:rsidR="00492D2F">
        <w:tc>
          <w:tcPr>
            <w:tcW w:w="3326" w:type="dxa"/>
          </w:tcPr>
          <w:p w:rsidR="00492D2F" w:rsidRDefault="00492D2F">
            <w:pPr>
              <w:pStyle w:val="ConsPlusNormal"/>
            </w:pPr>
            <w:r>
              <w:t>8. Примечание</w:t>
            </w:r>
          </w:p>
        </w:tc>
        <w:tc>
          <w:tcPr>
            <w:tcW w:w="5669" w:type="dxa"/>
          </w:tcPr>
          <w:p w:rsidR="00492D2F" w:rsidRDefault="00492D2F">
            <w:pPr>
              <w:pStyle w:val="ConsPlusNormal"/>
            </w:pPr>
            <w:r>
              <w:t xml:space="preserve">Указываются причины изменения реквизитов (закрытия) </w:t>
            </w:r>
            <w:proofErr w:type="gramStart"/>
            <w:r>
              <w:t>казначейского счета</w:t>
            </w:r>
            <w:proofErr w:type="gramEnd"/>
            <w:r>
              <w:t xml:space="preserve"> и иная необходимая информация о изменении реквизитов (закрытия) казначейского счета</w:t>
            </w:r>
          </w:p>
        </w:tc>
      </w:tr>
    </w:tbl>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both"/>
      </w:pPr>
    </w:p>
    <w:p w:rsidR="00492D2F" w:rsidRDefault="00492D2F">
      <w:pPr>
        <w:pStyle w:val="ConsPlusNormal"/>
        <w:jc w:val="right"/>
        <w:outlineLvl w:val="1"/>
      </w:pPr>
      <w:r>
        <w:t>Приложение N 4</w:t>
      </w:r>
    </w:p>
    <w:p w:rsidR="00492D2F" w:rsidRDefault="00492D2F">
      <w:pPr>
        <w:pStyle w:val="ConsPlusNormal"/>
        <w:jc w:val="right"/>
      </w:pPr>
      <w:r>
        <w:t>к Порядку открытия казначейских счетов</w:t>
      </w:r>
    </w:p>
    <w:p w:rsidR="00492D2F" w:rsidRDefault="00492D2F">
      <w:pPr>
        <w:pStyle w:val="ConsPlusNormal"/>
        <w:jc w:val="both"/>
      </w:pPr>
    </w:p>
    <w:p w:rsidR="00492D2F" w:rsidRDefault="00492D2F">
      <w:pPr>
        <w:pStyle w:val="ConsPlusTitle"/>
        <w:jc w:val="center"/>
      </w:pPr>
      <w:bookmarkStart w:id="16" w:name="P406"/>
      <w:bookmarkEnd w:id="16"/>
      <w:r>
        <w:t>РЕКВИЗИТЫ ЗАЯВЛЕНИЯ НА ЗАКРЫТИЕ КАЗНАЧЕЙСКОГО СЧЕТА</w:t>
      </w:r>
    </w:p>
    <w:p w:rsidR="00492D2F" w:rsidRDefault="00492D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26"/>
        <w:gridCol w:w="5669"/>
      </w:tblGrid>
      <w:tr w:rsidR="00492D2F">
        <w:tc>
          <w:tcPr>
            <w:tcW w:w="3326" w:type="dxa"/>
          </w:tcPr>
          <w:p w:rsidR="00492D2F" w:rsidRDefault="00492D2F">
            <w:pPr>
              <w:pStyle w:val="ConsPlusNormal"/>
              <w:jc w:val="center"/>
            </w:pPr>
            <w:r>
              <w:t>Наименование реквизита</w:t>
            </w:r>
          </w:p>
        </w:tc>
        <w:tc>
          <w:tcPr>
            <w:tcW w:w="5669" w:type="dxa"/>
          </w:tcPr>
          <w:p w:rsidR="00492D2F" w:rsidRDefault="00492D2F">
            <w:pPr>
              <w:pStyle w:val="ConsPlusNormal"/>
              <w:jc w:val="center"/>
            </w:pPr>
            <w:r>
              <w:t>Правила формирования, заполнения реквизита</w:t>
            </w:r>
          </w:p>
        </w:tc>
      </w:tr>
      <w:tr w:rsidR="00492D2F">
        <w:tc>
          <w:tcPr>
            <w:tcW w:w="3326" w:type="dxa"/>
          </w:tcPr>
          <w:p w:rsidR="00492D2F" w:rsidRDefault="00492D2F">
            <w:pPr>
              <w:pStyle w:val="ConsPlusNormal"/>
            </w:pPr>
            <w:r>
              <w:t>1. Наименование клиента</w:t>
            </w:r>
          </w:p>
        </w:tc>
        <w:tc>
          <w:tcPr>
            <w:tcW w:w="5669" w:type="dxa"/>
          </w:tcPr>
          <w:p w:rsidR="00492D2F" w:rsidRDefault="00492D2F">
            <w:pPr>
              <w:pStyle w:val="ConsPlusNormal"/>
            </w:pPr>
            <w:r>
              <w:t>Указывается полное наименование (с учетом символа "N", кавычек, скобок, знаков препинания)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наименованием, указанным в его реестровой записи Сводного реестра</w:t>
            </w:r>
          </w:p>
        </w:tc>
      </w:tr>
      <w:tr w:rsidR="00492D2F">
        <w:tc>
          <w:tcPr>
            <w:tcW w:w="3326" w:type="dxa"/>
          </w:tcPr>
          <w:p w:rsidR="00492D2F" w:rsidRDefault="00492D2F">
            <w:pPr>
              <w:pStyle w:val="ConsPlusNormal"/>
            </w:pPr>
            <w:r>
              <w:t>2. ИНН</w:t>
            </w:r>
          </w:p>
        </w:tc>
        <w:tc>
          <w:tcPr>
            <w:tcW w:w="5669" w:type="dxa"/>
          </w:tcPr>
          <w:p w:rsidR="00492D2F" w:rsidRDefault="00492D2F">
            <w:pPr>
              <w:pStyle w:val="ConsPlusNormal"/>
            </w:pPr>
            <w:r>
              <w:t>Указывается идентификационный номер налогоплательщика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326" w:type="dxa"/>
          </w:tcPr>
          <w:p w:rsidR="00492D2F" w:rsidRDefault="00492D2F">
            <w:pPr>
              <w:pStyle w:val="ConsPlusNormal"/>
            </w:pPr>
            <w:r>
              <w:t>3. КПП</w:t>
            </w:r>
          </w:p>
        </w:tc>
        <w:tc>
          <w:tcPr>
            <w:tcW w:w="5669" w:type="dxa"/>
          </w:tcPr>
          <w:p w:rsidR="00492D2F" w:rsidRDefault="00492D2F">
            <w:pPr>
              <w:pStyle w:val="ConsPlusNormal"/>
            </w:pPr>
            <w:r>
              <w:t>Указывается код причины постановки на учет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326" w:type="dxa"/>
          </w:tcPr>
          <w:p w:rsidR="00492D2F" w:rsidRDefault="00492D2F">
            <w:pPr>
              <w:pStyle w:val="ConsPlusNormal"/>
            </w:pPr>
            <w:r>
              <w:t>4. Код по Сводному реестру</w:t>
            </w:r>
          </w:p>
        </w:tc>
        <w:tc>
          <w:tcPr>
            <w:tcW w:w="5669" w:type="dxa"/>
          </w:tcPr>
          <w:p w:rsidR="00492D2F" w:rsidRDefault="00492D2F">
            <w:pPr>
              <w:pStyle w:val="ConsPlusNormal"/>
            </w:pPr>
            <w:r>
              <w:t>Указывается код по Сводному реестру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326" w:type="dxa"/>
          </w:tcPr>
          <w:p w:rsidR="00492D2F" w:rsidRDefault="00492D2F">
            <w:pPr>
              <w:pStyle w:val="ConsPlusNormal"/>
            </w:pPr>
            <w:r>
              <w:t>5. Код по ОКПО</w:t>
            </w:r>
          </w:p>
        </w:tc>
        <w:tc>
          <w:tcPr>
            <w:tcW w:w="5669" w:type="dxa"/>
          </w:tcPr>
          <w:p w:rsidR="00492D2F" w:rsidRDefault="00492D2F">
            <w:pPr>
              <w:pStyle w:val="ConsPlusNormal"/>
            </w:pPr>
            <w:r>
              <w:t>Указывается код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по Общероссийскому классификатору предприятий и организаций</w:t>
            </w:r>
          </w:p>
        </w:tc>
      </w:tr>
      <w:tr w:rsidR="00492D2F">
        <w:tc>
          <w:tcPr>
            <w:tcW w:w="3326" w:type="dxa"/>
          </w:tcPr>
          <w:p w:rsidR="00492D2F" w:rsidRDefault="00492D2F">
            <w:pPr>
              <w:pStyle w:val="ConsPlusNormal"/>
            </w:pPr>
            <w:r>
              <w:t xml:space="preserve">6. Код </w:t>
            </w:r>
            <w:hyperlink r:id="rId24" w:history="1">
              <w:r>
                <w:rPr>
                  <w:color w:val="0000FF"/>
                </w:rPr>
                <w:t>ОКТМО</w:t>
              </w:r>
            </w:hyperlink>
          </w:p>
        </w:tc>
        <w:tc>
          <w:tcPr>
            <w:tcW w:w="5669" w:type="dxa"/>
          </w:tcPr>
          <w:p w:rsidR="00492D2F" w:rsidRDefault="00492D2F">
            <w:pPr>
              <w:pStyle w:val="ConsPlusNormal"/>
            </w:pPr>
            <w:r>
              <w:t xml:space="preserve">Указывается код по Общероссийскому </w:t>
            </w:r>
            <w:hyperlink r:id="rId25" w:history="1">
              <w:r>
                <w:rPr>
                  <w:color w:val="0000FF"/>
                </w:rPr>
                <w:t>классификатору</w:t>
              </w:r>
            </w:hyperlink>
            <w:r>
              <w:t xml:space="preserve"> </w:t>
            </w:r>
            <w:r>
              <w:lastRenderedPageBreak/>
              <w:t>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492D2F">
        <w:tc>
          <w:tcPr>
            <w:tcW w:w="3326" w:type="dxa"/>
          </w:tcPr>
          <w:p w:rsidR="00492D2F" w:rsidRDefault="00492D2F">
            <w:pPr>
              <w:pStyle w:val="ConsPlusNormal"/>
            </w:pPr>
            <w:r>
              <w:lastRenderedPageBreak/>
              <w:t>7. Наименование закрываемого казначейского счета</w:t>
            </w:r>
          </w:p>
        </w:tc>
        <w:tc>
          <w:tcPr>
            <w:tcW w:w="5669" w:type="dxa"/>
          </w:tcPr>
          <w:p w:rsidR="00492D2F" w:rsidRDefault="00492D2F">
            <w:pPr>
              <w:pStyle w:val="ConsPlusNormal"/>
            </w:pPr>
            <w:r>
              <w:t xml:space="preserve">Указывается наименование соответствующего вида казначейского счета (видов казначейских счетов) в соответствии с видами казначейских счетов, предусмотренными </w:t>
            </w:r>
            <w:hyperlink w:anchor="P33" w:history="1">
              <w:r>
                <w:rPr>
                  <w:color w:val="0000FF"/>
                </w:rPr>
                <w:t>пунктом 2</w:t>
              </w:r>
            </w:hyperlink>
            <w:r>
              <w:t xml:space="preserve"> настоящего Порядка</w:t>
            </w:r>
          </w:p>
        </w:tc>
      </w:tr>
      <w:tr w:rsidR="00492D2F">
        <w:tc>
          <w:tcPr>
            <w:tcW w:w="3326" w:type="dxa"/>
          </w:tcPr>
          <w:p w:rsidR="00492D2F" w:rsidRDefault="00492D2F">
            <w:pPr>
              <w:pStyle w:val="ConsPlusNormal"/>
            </w:pPr>
            <w:r>
              <w:t>8. Номер закрываемого казначейского счета</w:t>
            </w:r>
          </w:p>
        </w:tc>
        <w:tc>
          <w:tcPr>
            <w:tcW w:w="5669" w:type="dxa"/>
          </w:tcPr>
          <w:p w:rsidR="00492D2F" w:rsidRDefault="00492D2F">
            <w:pPr>
              <w:pStyle w:val="ConsPlusNormal"/>
            </w:pPr>
            <w:r>
              <w:t>Указывается номер закрываемого казначейского счета</w:t>
            </w:r>
          </w:p>
        </w:tc>
      </w:tr>
      <w:tr w:rsidR="00492D2F">
        <w:tc>
          <w:tcPr>
            <w:tcW w:w="3326" w:type="dxa"/>
          </w:tcPr>
          <w:p w:rsidR="00492D2F" w:rsidRDefault="00492D2F">
            <w:pPr>
              <w:pStyle w:val="ConsPlusNormal"/>
            </w:pPr>
            <w:r>
              <w:t>9. Код валюты</w:t>
            </w:r>
          </w:p>
        </w:tc>
        <w:tc>
          <w:tcPr>
            <w:tcW w:w="5669" w:type="dxa"/>
          </w:tcPr>
          <w:p w:rsidR="00492D2F" w:rsidRDefault="00492D2F">
            <w:pPr>
              <w:pStyle w:val="ConsPlusNormal"/>
            </w:pPr>
            <w:r>
              <w:t xml:space="preserve">Код валюты по Общероссийскому </w:t>
            </w:r>
            <w:hyperlink r:id="rId26" w:history="1">
              <w:r>
                <w:rPr>
                  <w:color w:val="0000FF"/>
                </w:rPr>
                <w:t>классификатору</w:t>
              </w:r>
            </w:hyperlink>
            <w:r>
              <w:t xml:space="preserve"> валют</w:t>
            </w:r>
          </w:p>
        </w:tc>
      </w:tr>
      <w:tr w:rsidR="00492D2F">
        <w:tc>
          <w:tcPr>
            <w:tcW w:w="3326" w:type="dxa"/>
          </w:tcPr>
          <w:p w:rsidR="00492D2F" w:rsidRDefault="00492D2F">
            <w:pPr>
              <w:pStyle w:val="ConsPlusNormal"/>
            </w:pPr>
            <w:r>
              <w:t>10. Причина закрытия казначейского счета</w:t>
            </w:r>
          </w:p>
        </w:tc>
        <w:tc>
          <w:tcPr>
            <w:tcW w:w="5669" w:type="dxa"/>
          </w:tcPr>
          <w:p w:rsidR="00492D2F" w:rsidRDefault="00492D2F">
            <w:pPr>
              <w:pStyle w:val="ConsPlusNormal"/>
            </w:pPr>
            <w:r>
              <w:t>Указывается причина закрытия казначейского счета</w:t>
            </w:r>
          </w:p>
        </w:tc>
      </w:tr>
      <w:tr w:rsidR="00492D2F">
        <w:tc>
          <w:tcPr>
            <w:tcW w:w="3326" w:type="dxa"/>
          </w:tcPr>
          <w:p w:rsidR="00492D2F" w:rsidRDefault="00492D2F">
            <w:pPr>
              <w:pStyle w:val="ConsPlusNormal"/>
            </w:pPr>
            <w:r>
              <w:t>11. Реквизиты для перечисления средств, поступивших после закрытия казначейского счета</w:t>
            </w:r>
          </w:p>
        </w:tc>
        <w:tc>
          <w:tcPr>
            <w:tcW w:w="5669" w:type="dxa"/>
          </w:tcPr>
          <w:p w:rsidR="00492D2F" w:rsidRDefault="00492D2F">
            <w:pPr>
              <w:pStyle w:val="ConsPlusNormal"/>
            </w:pPr>
            <w:r>
              <w:t>Указываются номер счета и его реквизиты для перечисления средств, поступивших после закрытия казначейского счета</w:t>
            </w:r>
          </w:p>
        </w:tc>
      </w:tr>
      <w:tr w:rsidR="00492D2F">
        <w:tc>
          <w:tcPr>
            <w:tcW w:w="3326" w:type="dxa"/>
          </w:tcPr>
          <w:p w:rsidR="00492D2F" w:rsidRDefault="00492D2F">
            <w:pPr>
              <w:pStyle w:val="ConsPlusNormal"/>
            </w:pPr>
            <w:r>
              <w:t>12. Руководитель клиента (уполномоченное лицо)</w:t>
            </w:r>
          </w:p>
        </w:tc>
        <w:tc>
          <w:tcPr>
            <w:tcW w:w="5669" w:type="dxa"/>
          </w:tcPr>
          <w:p w:rsidR="00492D2F" w:rsidRDefault="00492D2F">
            <w:pPr>
              <w:pStyle w:val="ConsPlusNormal"/>
            </w:pPr>
            <w:r>
              <w:t>Указываются фамилия, имя, отчество (полностью) руководителя (уполномоченного лица)</w:t>
            </w:r>
          </w:p>
        </w:tc>
      </w:tr>
      <w:tr w:rsidR="00492D2F">
        <w:tc>
          <w:tcPr>
            <w:tcW w:w="3326" w:type="dxa"/>
          </w:tcPr>
          <w:p w:rsidR="00492D2F" w:rsidRDefault="00492D2F">
            <w:pPr>
              <w:pStyle w:val="ConsPlusNormal"/>
            </w:pPr>
            <w:r>
              <w:t>13. Главный бухгалтер клиента (уполномоченное лицо)</w:t>
            </w:r>
          </w:p>
        </w:tc>
        <w:tc>
          <w:tcPr>
            <w:tcW w:w="5669" w:type="dxa"/>
          </w:tcPr>
          <w:p w:rsidR="00492D2F" w:rsidRDefault="00492D2F">
            <w:pPr>
              <w:pStyle w:val="ConsPlusNormal"/>
            </w:pPr>
            <w:r>
              <w:t>Указываются фамилия, имя, отчество (полностью) главного бухгалтера (уполномоченного лица)</w:t>
            </w:r>
          </w:p>
        </w:tc>
      </w:tr>
    </w:tbl>
    <w:p w:rsidR="00492D2F" w:rsidRDefault="00492D2F">
      <w:pPr>
        <w:pStyle w:val="ConsPlusNormal"/>
        <w:jc w:val="both"/>
      </w:pPr>
    </w:p>
    <w:p w:rsidR="00492D2F" w:rsidRDefault="00492D2F">
      <w:pPr>
        <w:pStyle w:val="ConsPlusNormal"/>
        <w:jc w:val="both"/>
      </w:pPr>
    </w:p>
    <w:p w:rsidR="00492D2F" w:rsidRDefault="00492D2F">
      <w:pPr>
        <w:pStyle w:val="ConsPlusNormal"/>
        <w:pBdr>
          <w:top w:val="single" w:sz="6" w:space="0" w:color="auto"/>
        </w:pBdr>
        <w:spacing w:before="100" w:after="100"/>
        <w:jc w:val="both"/>
        <w:rPr>
          <w:sz w:val="2"/>
          <w:szCs w:val="2"/>
        </w:rPr>
      </w:pPr>
    </w:p>
    <w:p w:rsidR="00960CB7" w:rsidRDefault="00960CB7">
      <w:bookmarkStart w:id="17" w:name="_GoBack"/>
      <w:bookmarkEnd w:id="17"/>
    </w:p>
    <w:sectPr w:rsidR="00960CB7" w:rsidSect="00D315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D2F"/>
    <w:rsid w:val="00492D2F"/>
    <w:rsid w:val="00960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91759F-7857-41CD-8170-E01B10F6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2D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2D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92D2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41ED82114174D647063280AA56911ECF6FF26E732A642390CE77F7179B07FE825805FBF534D41BAF28742C02Z0iBJ" TargetMode="External"/><Relationship Id="rId13" Type="http://schemas.openxmlformats.org/officeDocument/2006/relationships/hyperlink" Target="consultantplus://offline/ref=F341ED82114174D647063280AA56911ECD6EFC66752F642390CE77F7179B07FE825805FBF534D41BAF28742C02Z0iBJ" TargetMode="External"/><Relationship Id="rId18" Type="http://schemas.openxmlformats.org/officeDocument/2006/relationships/hyperlink" Target="consultantplus://offline/ref=F341ED82114174D647063280AA56911ECF6BF36F7228642390CE77F7179B07FE90585DF7F536CD1FA23D227D445E871B1FC5C9533E5AFAC6ZFi5J" TargetMode="External"/><Relationship Id="rId26" Type="http://schemas.openxmlformats.org/officeDocument/2006/relationships/hyperlink" Target="consultantplus://offline/ref=F341ED82114174D647063280AA56911ECF6EFD6E762E642390CE77F7179B07FE825805FBF534D41BAF28742C02Z0iBJ" TargetMode="External"/><Relationship Id="rId3" Type="http://schemas.openxmlformats.org/officeDocument/2006/relationships/webSettings" Target="webSettings.xml"/><Relationship Id="rId21" Type="http://schemas.openxmlformats.org/officeDocument/2006/relationships/hyperlink" Target="consultantplus://offline/ref=F341ED82114174D647063280AA56911ECD6EFC66752F642390CE77F7179B07FE825805FBF534D41BAF28742C02Z0iBJ" TargetMode="External"/><Relationship Id="rId7" Type="http://schemas.openxmlformats.org/officeDocument/2006/relationships/hyperlink" Target="consultantplus://offline/ref=F341ED82114174D647063280AA56911ECF6FF26E732A642390CE77F7179B07FE825805FBF534D41BAF28742C02Z0iBJ" TargetMode="External"/><Relationship Id="rId12" Type="http://schemas.openxmlformats.org/officeDocument/2006/relationships/hyperlink" Target="consultantplus://offline/ref=F341ED82114174D647063280AA56911ECD6EFC66752F642390CE77F7179B07FE825805FBF534D41BAF28742C02Z0iBJ" TargetMode="External"/><Relationship Id="rId17" Type="http://schemas.openxmlformats.org/officeDocument/2006/relationships/hyperlink" Target="consultantplus://offline/ref=F341ED82114174D647063280AA56911ECF68FD69762D642390CE77F7179B07FE825805FBF534D41BAF28742C02Z0iBJ" TargetMode="External"/><Relationship Id="rId25" Type="http://schemas.openxmlformats.org/officeDocument/2006/relationships/hyperlink" Target="consultantplus://offline/ref=F341ED82114174D647063280AA56911ECD6EFC66752F642390CE77F7179B07FE825805FBF534D41BAF28742C02Z0iBJ" TargetMode="External"/><Relationship Id="rId2" Type="http://schemas.openxmlformats.org/officeDocument/2006/relationships/settings" Target="settings.xml"/><Relationship Id="rId16" Type="http://schemas.openxmlformats.org/officeDocument/2006/relationships/hyperlink" Target="consultantplus://offline/ref=F341ED82114174D647063280AA56911ECD6EFC66752F642390CE77F7179B07FE825805FBF534D41BAF28742C02Z0iBJ" TargetMode="External"/><Relationship Id="rId20" Type="http://schemas.openxmlformats.org/officeDocument/2006/relationships/hyperlink" Target="consultantplus://offline/ref=F341ED82114174D647063280AA56911ECD6EFC66752F642390CE77F7179B07FE825805FBF534D41BAF28742C02Z0iBJ" TargetMode="External"/><Relationship Id="rId1" Type="http://schemas.openxmlformats.org/officeDocument/2006/relationships/styles" Target="styles.xml"/><Relationship Id="rId6" Type="http://schemas.openxmlformats.org/officeDocument/2006/relationships/hyperlink" Target="consultantplus://offline/ref=F341ED82114174D647063280AA56911ECF6FF0667329642390CE77F7179B07FE90585DF0F43FC810F36732790D0B89051CD3D759205AZFiAJ" TargetMode="External"/><Relationship Id="rId11" Type="http://schemas.openxmlformats.org/officeDocument/2006/relationships/hyperlink" Target="consultantplus://offline/ref=F341ED82114174D647063280AA56911ECD6EFC66752F642390CE77F7179B07FE825805FBF534D41BAF28742C02Z0iBJ" TargetMode="External"/><Relationship Id="rId24" Type="http://schemas.openxmlformats.org/officeDocument/2006/relationships/hyperlink" Target="consultantplus://offline/ref=F341ED82114174D647063280AA56911ECD6EFC66752F642390CE77F7179B07FE825805FBF534D41BAF28742C02Z0iBJ" TargetMode="External"/><Relationship Id="rId5" Type="http://schemas.openxmlformats.org/officeDocument/2006/relationships/hyperlink" Target="consultantplus://offline/ref=F341ED82114174D647063280AA56911ECF6FF0667329642390CE77F7179B07FE90585DF0F43FC810F36732790D0B89051CD3D759205AZFiAJ" TargetMode="External"/><Relationship Id="rId15" Type="http://schemas.openxmlformats.org/officeDocument/2006/relationships/hyperlink" Target="consultantplus://offline/ref=F341ED82114174D647063280AA56911ECD6EFC66752F642390CE77F7179B07FE825805FBF534D41BAF28742C02Z0iBJ" TargetMode="External"/><Relationship Id="rId23" Type="http://schemas.openxmlformats.org/officeDocument/2006/relationships/hyperlink" Target="consultantplus://offline/ref=F341ED82114174D647063280AA56911ECF6EFD6E762E642390CE77F7179B07FE825805FBF534D41BAF28742C02Z0iBJ" TargetMode="External"/><Relationship Id="rId28" Type="http://schemas.openxmlformats.org/officeDocument/2006/relationships/theme" Target="theme/theme1.xml"/><Relationship Id="rId10" Type="http://schemas.openxmlformats.org/officeDocument/2006/relationships/hyperlink" Target="consultantplus://offline/ref=F341ED82114174D647063280AA56911ECD6EFC66752F642390CE77F7179B07FE825805FBF534D41BAF28742C02Z0iBJ" TargetMode="External"/><Relationship Id="rId19" Type="http://schemas.openxmlformats.org/officeDocument/2006/relationships/hyperlink" Target="consultantplus://offline/ref=F341ED82114174D647063280AA56911ECF6BF36F7228642390CE77F7179B07FE90585DF7F536CD1FA23D227D445E871B1FC5C9533E5AFAC6ZFi5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341ED82114174D647063280AA56911ECF6EFD6E762E642390CE77F7179B07FE825805FBF534D41BAF28742C02Z0iBJ" TargetMode="External"/><Relationship Id="rId14" Type="http://schemas.openxmlformats.org/officeDocument/2006/relationships/hyperlink" Target="consultantplus://offline/ref=F341ED82114174D647063280AA56911ECD6EFC66752F642390CE77F7179B07FE825805FBF534D41BAF28742C02Z0iBJ" TargetMode="External"/><Relationship Id="rId22" Type="http://schemas.openxmlformats.org/officeDocument/2006/relationships/hyperlink" Target="consultantplus://offline/ref=F341ED82114174D647063280AA56911ECF6EFD6E762E642390CE77F7179B07FE825805FBF534D41BAF28742C02Z0iB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6447</Words>
  <Characters>36752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Янкевич Елена Сергеевна</dc:creator>
  <cp:keywords/>
  <dc:description/>
  <cp:lastModifiedBy>Янкевич Елена Сергеевна</cp:lastModifiedBy>
  <cp:revision>1</cp:revision>
  <dcterms:created xsi:type="dcterms:W3CDTF">2020-08-03T09:34:00Z</dcterms:created>
  <dcterms:modified xsi:type="dcterms:W3CDTF">2020-08-03T09:35:00Z</dcterms:modified>
</cp:coreProperties>
</file>